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E21327" w14:paraId="2B6CB8CD" w14:textId="77777777">
        <w:tblPrEx>
          <w:tblCellMar>
            <w:top w:w="0" w:type="dxa"/>
            <w:bottom w:w="0" w:type="dxa"/>
          </w:tblCellMar>
        </w:tblPrEx>
        <w:trPr>
          <w:tblCellSpacing w:w="60" w:type="dxa"/>
        </w:trPr>
        <w:tc>
          <w:tcPr>
            <w:tcW w:w="1200" w:type="pct"/>
            <w:shd w:val="clear" w:color="auto" w:fill="E7F0F9"/>
          </w:tcPr>
          <w:p w14:paraId="13527B43" w14:textId="77777777" w:rsidR="00E21327" w:rsidRDefault="0032056F">
            <w:pPr>
              <w:spacing w:after="0" w:line="240" w:lineRule="auto"/>
            </w:pPr>
            <w:r>
              <w:rPr>
                <w:b/>
              </w:rPr>
              <w:t>RKP broj</w:t>
            </w:r>
          </w:p>
        </w:tc>
        <w:tc>
          <w:tcPr>
            <w:tcW w:w="0" w:type="auto"/>
            <w:shd w:val="clear" w:color="auto" w:fill="E7F0F9"/>
          </w:tcPr>
          <w:p w14:paraId="5E4F834B" w14:textId="77777777" w:rsidR="00E21327" w:rsidRDefault="0032056F">
            <w:pPr>
              <w:spacing w:after="0" w:line="240" w:lineRule="auto"/>
            </w:pPr>
            <w:r>
              <w:t>47096</w:t>
            </w:r>
          </w:p>
        </w:tc>
      </w:tr>
      <w:tr w:rsidR="00E21327" w14:paraId="73109F06" w14:textId="77777777">
        <w:tblPrEx>
          <w:tblCellMar>
            <w:top w:w="0" w:type="dxa"/>
            <w:bottom w:w="0" w:type="dxa"/>
          </w:tblCellMar>
        </w:tblPrEx>
        <w:trPr>
          <w:tblCellSpacing w:w="60" w:type="dxa"/>
        </w:trPr>
        <w:tc>
          <w:tcPr>
            <w:tcW w:w="1200" w:type="pct"/>
            <w:shd w:val="clear" w:color="auto" w:fill="E7F0F9"/>
          </w:tcPr>
          <w:p w14:paraId="04FA612D" w14:textId="77777777" w:rsidR="00E21327" w:rsidRDefault="0032056F">
            <w:pPr>
              <w:spacing w:after="0" w:line="240" w:lineRule="auto"/>
            </w:pPr>
            <w:r>
              <w:rPr>
                <w:b/>
              </w:rPr>
              <w:t>Naziv obveznika</w:t>
            </w:r>
          </w:p>
        </w:tc>
        <w:tc>
          <w:tcPr>
            <w:tcW w:w="0" w:type="auto"/>
            <w:shd w:val="clear" w:color="auto" w:fill="E7F0F9"/>
          </w:tcPr>
          <w:p w14:paraId="146EA084" w14:textId="77777777" w:rsidR="00E21327" w:rsidRDefault="0032056F">
            <w:pPr>
              <w:spacing w:after="0" w:line="240" w:lineRule="auto"/>
            </w:pPr>
            <w:r>
              <w:t>MINISTARSTVO RADA, MIROVINSKOGA SUSTAVA, OBITELJI I SOCIJALNE POLITIKE</w:t>
            </w:r>
          </w:p>
        </w:tc>
      </w:tr>
      <w:tr w:rsidR="00E21327" w14:paraId="70ECFE38" w14:textId="77777777">
        <w:tblPrEx>
          <w:tblCellMar>
            <w:top w:w="0" w:type="dxa"/>
            <w:bottom w:w="0" w:type="dxa"/>
          </w:tblCellMar>
        </w:tblPrEx>
        <w:trPr>
          <w:tblCellSpacing w:w="60" w:type="dxa"/>
        </w:trPr>
        <w:tc>
          <w:tcPr>
            <w:tcW w:w="1200" w:type="pct"/>
            <w:shd w:val="clear" w:color="auto" w:fill="E7F0F9"/>
          </w:tcPr>
          <w:p w14:paraId="5FB1966C" w14:textId="77777777" w:rsidR="00E21327" w:rsidRDefault="0032056F">
            <w:pPr>
              <w:spacing w:after="0" w:line="240" w:lineRule="auto"/>
            </w:pPr>
            <w:r>
              <w:rPr>
                <w:b/>
              </w:rPr>
              <w:t>Razina</w:t>
            </w:r>
          </w:p>
        </w:tc>
        <w:tc>
          <w:tcPr>
            <w:tcW w:w="0" w:type="auto"/>
            <w:shd w:val="clear" w:color="auto" w:fill="E7F0F9"/>
          </w:tcPr>
          <w:p w14:paraId="3AE4A725" w14:textId="77777777" w:rsidR="00E21327" w:rsidRDefault="0032056F">
            <w:pPr>
              <w:spacing w:after="0" w:line="240" w:lineRule="auto"/>
            </w:pPr>
            <w:r>
              <w:t>11</w:t>
            </w:r>
          </w:p>
        </w:tc>
      </w:tr>
    </w:tbl>
    <w:p w14:paraId="4EE1AAFF" w14:textId="77777777" w:rsidR="00E21327" w:rsidRDefault="0032056F">
      <w:r>
        <w:br/>
      </w:r>
    </w:p>
    <w:p w14:paraId="4269CDD5" w14:textId="77777777" w:rsidR="00E21327" w:rsidRDefault="0032056F">
      <w:pPr>
        <w:spacing w:line="240" w:lineRule="auto"/>
        <w:jc w:val="center"/>
      </w:pPr>
      <w:r>
        <w:rPr>
          <w:b/>
          <w:sz w:val="28"/>
        </w:rPr>
        <w:t>BILJEŠKE UZ FINANCIJSKE IZVJEŠTAJE</w:t>
      </w:r>
    </w:p>
    <w:p w14:paraId="700A2C02" w14:textId="77777777" w:rsidR="00E21327" w:rsidRDefault="0032056F">
      <w:pPr>
        <w:spacing w:line="240" w:lineRule="auto"/>
        <w:jc w:val="center"/>
      </w:pPr>
      <w:r>
        <w:rPr>
          <w:b/>
          <w:sz w:val="28"/>
        </w:rPr>
        <w:t>ZA RAZDOBLJE</w:t>
      </w:r>
    </w:p>
    <w:p w14:paraId="51473B71" w14:textId="77777777" w:rsidR="00E21327" w:rsidRDefault="0032056F">
      <w:pPr>
        <w:spacing w:line="240" w:lineRule="auto"/>
        <w:jc w:val="center"/>
      </w:pPr>
      <w:r>
        <w:rPr>
          <w:b/>
          <w:sz w:val="28"/>
        </w:rPr>
        <w:t>I - XII 2025.</w:t>
      </w:r>
    </w:p>
    <w:p w14:paraId="34C03B7D" w14:textId="77777777" w:rsidR="00E21327" w:rsidRDefault="00E21327"/>
    <w:p w14:paraId="4DB6F14B" w14:textId="77777777" w:rsidR="00E21327" w:rsidRDefault="0032056F">
      <w:pPr>
        <w:keepNext/>
        <w:spacing w:line="240" w:lineRule="auto"/>
        <w:jc w:val="center"/>
      </w:pPr>
      <w:r>
        <w:rPr>
          <w:b/>
          <w:sz w:val="28"/>
        </w:rPr>
        <w:t>Izvještaj o prihodima i rashodima, primicima i izdacima</w:t>
      </w:r>
    </w:p>
    <w:p w14:paraId="7E539DA3" w14:textId="77777777" w:rsidR="00E21327" w:rsidRDefault="0032056F">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21327" w14:paraId="602B55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D37CC9" w14:textId="77777777" w:rsidR="00E21327" w:rsidRDefault="003205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670D8E" w14:textId="77777777" w:rsidR="00E21327" w:rsidRDefault="003205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7FAE97" w14:textId="77777777" w:rsidR="00E21327" w:rsidRDefault="003205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59C4ED" w14:textId="77777777" w:rsidR="00E21327" w:rsidRDefault="0032056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E48B6C" w14:textId="77777777" w:rsidR="00E21327" w:rsidRDefault="0032056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C5611C" w14:textId="77777777" w:rsidR="00E21327" w:rsidRDefault="0032056F">
            <w:pPr>
              <w:keepNext/>
              <w:keepLines/>
              <w:spacing w:after="0" w:line="240" w:lineRule="auto"/>
              <w:jc w:val="center"/>
            </w:pPr>
            <w:r>
              <w:rPr>
                <w:b/>
                <w:sz w:val="18"/>
              </w:rPr>
              <w:t>Indeks (%)</w:t>
            </w:r>
          </w:p>
        </w:tc>
      </w:tr>
      <w:tr w:rsidR="00E21327" w14:paraId="3C49E9C8" w14:textId="77777777">
        <w:tblPrEx>
          <w:tblCellMar>
            <w:top w:w="0" w:type="dxa"/>
            <w:bottom w:w="0" w:type="dxa"/>
          </w:tblCellMar>
        </w:tblPrEx>
        <w:trPr>
          <w:cantSplit/>
          <w:trHeight w:val="560"/>
        </w:trPr>
        <w:tc>
          <w:tcPr>
            <w:tcW w:w="700" w:type="dxa"/>
            <w:tcMar>
              <w:top w:w="0" w:type="dxa"/>
              <w:bottom w:w="0" w:type="dxa"/>
            </w:tcMar>
            <w:vAlign w:val="center"/>
          </w:tcPr>
          <w:p w14:paraId="798853A5" w14:textId="77777777" w:rsidR="00E21327" w:rsidRDefault="0032056F">
            <w:pPr>
              <w:keepNext/>
              <w:keepLines/>
              <w:spacing w:after="0" w:line="240" w:lineRule="auto"/>
            </w:pPr>
            <w:r>
              <w:rPr>
                <w:sz w:val="18"/>
              </w:rPr>
              <w:t>6</w:t>
            </w:r>
          </w:p>
        </w:tc>
        <w:tc>
          <w:tcPr>
            <w:tcW w:w="3180" w:type="dxa"/>
            <w:tcMar>
              <w:top w:w="0" w:type="dxa"/>
              <w:bottom w:w="0" w:type="dxa"/>
            </w:tcMar>
            <w:vAlign w:val="center"/>
          </w:tcPr>
          <w:p w14:paraId="7DFDD287" w14:textId="77777777" w:rsidR="00E21327" w:rsidRDefault="0032056F">
            <w:pPr>
              <w:keepNext/>
              <w:keepLines/>
              <w:spacing w:after="0" w:line="240" w:lineRule="auto"/>
            </w:pPr>
            <w:r>
              <w:rPr>
                <w:sz w:val="18"/>
              </w:rPr>
              <w:t>PRIHODI POSLOVANJA (šifre 61+62+63+64+65+66+67+68)</w:t>
            </w:r>
          </w:p>
        </w:tc>
        <w:tc>
          <w:tcPr>
            <w:tcW w:w="700" w:type="dxa"/>
            <w:tcMar>
              <w:top w:w="0" w:type="dxa"/>
              <w:bottom w:w="0" w:type="dxa"/>
            </w:tcMar>
            <w:vAlign w:val="center"/>
          </w:tcPr>
          <w:p w14:paraId="0D829356" w14:textId="77777777" w:rsidR="00E21327" w:rsidRDefault="0032056F">
            <w:pPr>
              <w:keepNext/>
              <w:keepLines/>
              <w:spacing w:after="0" w:line="240" w:lineRule="auto"/>
            </w:pPr>
            <w:r>
              <w:rPr>
                <w:sz w:val="18"/>
              </w:rPr>
              <w:t>6</w:t>
            </w:r>
          </w:p>
        </w:tc>
        <w:tc>
          <w:tcPr>
            <w:tcW w:w="1860" w:type="dxa"/>
            <w:tcMar>
              <w:top w:w="0" w:type="dxa"/>
              <w:bottom w:w="0" w:type="dxa"/>
            </w:tcMar>
            <w:vAlign w:val="center"/>
          </w:tcPr>
          <w:p w14:paraId="655AFB51" w14:textId="77777777" w:rsidR="00E21327" w:rsidRDefault="0032056F">
            <w:pPr>
              <w:keepNext/>
              <w:keepLines/>
              <w:spacing w:after="0" w:line="240" w:lineRule="auto"/>
              <w:jc w:val="right"/>
            </w:pPr>
            <w:r>
              <w:rPr>
                <w:sz w:val="18"/>
              </w:rPr>
              <w:t>356.905.074,34</w:t>
            </w:r>
          </w:p>
        </w:tc>
        <w:tc>
          <w:tcPr>
            <w:tcW w:w="1860" w:type="dxa"/>
            <w:tcMar>
              <w:top w:w="0" w:type="dxa"/>
              <w:bottom w:w="0" w:type="dxa"/>
            </w:tcMar>
            <w:vAlign w:val="center"/>
          </w:tcPr>
          <w:p w14:paraId="6E6851A7" w14:textId="77777777" w:rsidR="00E21327" w:rsidRDefault="0032056F">
            <w:pPr>
              <w:keepNext/>
              <w:keepLines/>
              <w:spacing w:after="0" w:line="240" w:lineRule="auto"/>
              <w:jc w:val="right"/>
            </w:pPr>
            <w:r>
              <w:rPr>
                <w:sz w:val="18"/>
              </w:rPr>
              <w:t>395.914.278,31</w:t>
            </w:r>
          </w:p>
        </w:tc>
        <w:tc>
          <w:tcPr>
            <w:tcW w:w="700" w:type="dxa"/>
            <w:tcMar>
              <w:top w:w="0" w:type="dxa"/>
              <w:bottom w:w="0" w:type="dxa"/>
            </w:tcMar>
            <w:vAlign w:val="center"/>
          </w:tcPr>
          <w:p w14:paraId="33115DD8" w14:textId="77777777" w:rsidR="00E21327" w:rsidRDefault="0032056F">
            <w:pPr>
              <w:keepNext/>
              <w:keepLines/>
              <w:spacing w:after="0" w:line="240" w:lineRule="auto"/>
              <w:jc w:val="right"/>
            </w:pPr>
            <w:r>
              <w:rPr>
                <w:sz w:val="18"/>
              </w:rPr>
              <w:t>110,9</w:t>
            </w:r>
          </w:p>
        </w:tc>
      </w:tr>
      <w:tr w:rsidR="00E21327" w14:paraId="66506766" w14:textId="77777777">
        <w:tblPrEx>
          <w:tblCellMar>
            <w:top w:w="0" w:type="dxa"/>
            <w:bottom w:w="0" w:type="dxa"/>
          </w:tblCellMar>
        </w:tblPrEx>
        <w:trPr>
          <w:cantSplit/>
          <w:trHeight w:val="560"/>
        </w:trPr>
        <w:tc>
          <w:tcPr>
            <w:tcW w:w="700" w:type="dxa"/>
            <w:tcMar>
              <w:top w:w="0" w:type="dxa"/>
              <w:bottom w:w="0" w:type="dxa"/>
            </w:tcMar>
            <w:vAlign w:val="center"/>
          </w:tcPr>
          <w:p w14:paraId="7A9A6DFA" w14:textId="77777777" w:rsidR="00E21327" w:rsidRDefault="0032056F">
            <w:pPr>
              <w:keepNext/>
              <w:keepLines/>
              <w:spacing w:after="0" w:line="240" w:lineRule="auto"/>
            </w:pPr>
            <w:r>
              <w:rPr>
                <w:sz w:val="18"/>
              </w:rPr>
              <w:t>3</w:t>
            </w:r>
          </w:p>
        </w:tc>
        <w:tc>
          <w:tcPr>
            <w:tcW w:w="3180" w:type="dxa"/>
            <w:tcMar>
              <w:top w:w="0" w:type="dxa"/>
              <w:bottom w:w="0" w:type="dxa"/>
            </w:tcMar>
            <w:vAlign w:val="center"/>
          </w:tcPr>
          <w:p w14:paraId="117A053C" w14:textId="77777777" w:rsidR="00E21327" w:rsidRDefault="0032056F">
            <w:pPr>
              <w:keepNext/>
              <w:keepLines/>
              <w:spacing w:after="0" w:line="240" w:lineRule="auto"/>
            </w:pPr>
            <w:r>
              <w:rPr>
                <w:sz w:val="18"/>
              </w:rPr>
              <w:t>RASHODI POSLOVANJA (šifre 31+32+34+35+36+37+38)</w:t>
            </w:r>
          </w:p>
        </w:tc>
        <w:tc>
          <w:tcPr>
            <w:tcW w:w="700" w:type="dxa"/>
            <w:tcMar>
              <w:top w:w="0" w:type="dxa"/>
              <w:bottom w:w="0" w:type="dxa"/>
            </w:tcMar>
            <w:vAlign w:val="center"/>
          </w:tcPr>
          <w:p w14:paraId="11279A8D" w14:textId="77777777" w:rsidR="00E21327" w:rsidRDefault="0032056F">
            <w:pPr>
              <w:keepNext/>
              <w:keepLines/>
              <w:spacing w:after="0" w:line="240" w:lineRule="auto"/>
            </w:pPr>
            <w:r>
              <w:rPr>
                <w:sz w:val="18"/>
              </w:rPr>
              <w:t>3</w:t>
            </w:r>
          </w:p>
        </w:tc>
        <w:tc>
          <w:tcPr>
            <w:tcW w:w="1860" w:type="dxa"/>
            <w:tcMar>
              <w:top w:w="0" w:type="dxa"/>
              <w:bottom w:w="0" w:type="dxa"/>
            </w:tcMar>
            <w:vAlign w:val="center"/>
          </w:tcPr>
          <w:p w14:paraId="3760DF33" w14:textId="77777777" w:rsidR="00E21327" w:rsidRDefault="0032056F">
            <w:pPr>
              <w:keepNext/>
              <w:keepLines/>
              <w:spacing w:after="0" w:line="240" w:lineRule="auto"/>
              <w:jc w:val="right"/>
            </w:pPr>
            <w:r>
              <w:rPr>
                <w:sz w:val="18"/>
              </w:rPr>
              <w:t>339.397.081,17</w:t>
            </w:r>
          </w:p>
        </w:tc>
        <w:tc>
          <w:tcPr>
            <w:tcW w:w="1860" w:type="dxa"/>
            <w:tcMar>
              <w:top w:w="0" w:type="dxa"/>
              <w:bottom w:w="0" w:type="dxa"/>
            </w:tcMar>
            <w:vAlign w:val="center"/>
          </w:tcPr>
          <w:p w14:paraId="1A5F886A" w14:textId="77777777" w:rsidR="00E21327" w:rsidRDefault="0032056F">
            <w:pPr>
              <w:keepNext/>
              <w:keepLines/>
              <w:spacing w:after="0" w:line="240" w:lineRule="auto"/>
              <w:jc w:val="right"/>
            </w:pPr>
            <w:r>
              <w:rPr>
                <w:sz w:val="18"/>
              </w:rPr>
              <w:t>404.415.463,08</w:t>
            </w:r>
          </w:p>
        </w:tc>
        <w:tc>
          <w:tcPr>
            <w:tcW w:w="700" w:type="dxa"/>
            <w:tcMar>
              <w:top w:w="0" w:type="dxa"/>
              <w:bottom w:w="0" w:type="dxa"/>
            </w:tcMar>
            <w:vAlign w:val="center"/>
          </w:tcPr>
          <w:p w14:paraId="5E00F8AA" w14:textId="77777777" w:rsidR="00E21327" w:rsidRDefault="0032056F">
            <w:pPr>
              <w:keepNext/>
              <w:keepLines/>
              <w:spacing w:after="0" w:line="240" w:lineRule="auto"/>
              <w:jc w:val="right"/>
            </w:pPr>
            <w:r>
              <w:rPr>
                <w:sz w:val="18"/>
              </w:rPr>
              <w:t>119,2</w:t>
            </w:r>
          </w:p>
        </w:tc>
      </w:tr>
      <w:tr w:rsidR="00E21327" w14:paraId="71CF6443" w14:textId="77777777">
        <w:tblPrEx>
          <w:tblCellMar>
            <w:top w:w="0" w:type="dxa"/>
            <w:bottom w:w="0" w:type="dxa"/>
          </w:tblCellMar>
        </w:tblPrEx>
        <w:trPr>
          <w:cantSplit/>
          <w:trHeight w:val="560"/>
        </w:trPr>
        <w:tc>
          <w:tcPr>
            <w:tcW w:w="700" w:type="dxa"/>
            <w:tcMar>
              <w:top w:w="0" w:type="dxa"/>
              <w:bottom w:w="0" w:type="dxa"/>
            </w:tcMar>
            <w:vAlign w:val="center"/>
          </w:tcPr>
          <w:p w14:paraId="359BA57F" w14:textId="77777777" w:rsidR="00E21327" w:rsidRDefault="00E21327">
            <w:pPr>
              <w:keepNext/>
              <w:keepLines/>
              <w:spacing w:after="0" w:line="240" w:lineRule="auto"/>
            </w:pPr>
          </w:p>
        </w:tc>
        <w:tc>
          <w:tcPr>
            <w:tcW w:w="3180" w:type="dxa"/>
            <w:tcMar>
              <w:top w:w="0" w:type="dxa"/>
              <w:bottom w:w="0" w:type="dxa"/>
            </w:tcMar>
            <w:vAlign w:val="center"/>
          </w:tcPr>
          <w:p w14:paraId="2F28D320" w14:textId="77777777" w:rsidR="00E21327" w:rsidRDefault="0032056F">
            <w:pPr>
              <w:keepNext/>
              <w:keepLines/>
              <w:spacing w:after="0" w:line="240" w:lineRule="auto"/>
            </w:pPr>
            <w:r>
              <w:rPr>
                <w:b/>
                <w:sz w:val="18"/>
              </w:rPr>
              <w:t>MANJAK PRIHODA POSLOVANJA (šifre Z005-6)</w:t>
            </w:r>
          </w:p>
        </w:tc>
        <w:tc>
          <w:tcPr>
            <w:tcW w:w="700" w:type="dxa"/>
            <w:tcMar>
              <w:top w:w="0" w:type="dxa"/>
              <w:bottom w:w="0" w:type="dxa"/>
            </w:tcMar>
            <w:vAlign w:val="center"/>
          </w:tcPr>
          <w:p w14:paraId="4C38523C" w14:textId="77777777" w:rsidR="00E21327" w:rsidRDefault="0032056F">
            <w:pPr>
              <w:keepNext/>
              <w:keepLines/>
              <w:spacing w:after="0" w:line="240" w:lineRule="auto"/>
            </w:pPr>
            <w:r>
              <w:rPr>
                <w:b/>
                <w:sz w:val="18"/>
              </w:rPr>
              <w:t>Y001</w:t>
            </w:r>
          </w:p>
        </w:tc>
        <w:tc>
          <w:tcPr>
            <w:tcW w:w="1860" w:type="dxa"/>
            <w:tcMar>
              <w:top w:w="0" w:type="dxa"/>
              <w:bottom w:w="0" w:type="dxa"/>
            </w:tcMar>
            <w:vAlign w:val="center"/>
          </w:tcPr>
          <w:p w14:paraId="27B798F2" w14:textId="77777777" w:rsidR="00E21327" w:rsidRDefault="0032056F">
            <w:pPr>
              <w:keepNext/>
              <w:keepLines/>
              <w:spacing w:after="0" w:line="240" w:lineRule="auto"/>
              <w:jc w:val="right"/>
            </w:pPr>
            <w:r>
              <w:rPr>
                <w:b/>
                <w:sz w:val="18"/>
              </w:rPr>
              <w:t>0,00</w:t>
            </w:r>
          </w:p>
        </w:tc>
        <w:tc>
          <w:tcPr>
            <w:tcW w:w="1860" w:type="dxa"/>
            <w:tcMar>
              <w:top w:w="0" w:type="dxa"/>
              <w:bottom w:w="0" w:type="dxa"/>
            </w:tcMar>
            <w:vAlign w:val="center"/>
          </w:tcPr>
          <w:p w14:paraId="49734AE3" w14:textId="77777777" w:rsidR="00E21327" w:rsidRDefault="0032056F">
            <w:pPr>
              <w:keepNext/>
              <w:keepLines/>
              <w:spacing w:after="0" w:line="240" w:lineRule="auto"/>
              <w:jc w:val="right"/>
            </w:pPr>
            <w:r>
              <w:rPr>
                <w:b/>
                <w:sz w:val="18"/>
              </w:rPr>
              <w:t>8.501.184,77</w:t>
            </w:r>
          </w:p>
        </w:tc>
        <w:tc>
          <w:tcPr>
            <w:tcW w:w="700" w:type="dxa"/>
            <w:tcMar>
              <w:top w:w="0" w:type="dxa"/>
              <w:bottom w:w="0" w:type="dxa"/>
            </w:tcMar>
            <w:vAlign w:val="center"/>
          </w:tcPr>
          <w:p w14:paraId="670CD189" w14:textId="77777777" w:rsidR="00E21327" w:rsidRDefault="0032056F">
            <w:pPr>
              <w:keepNext/>
              <w:keepLines/>
              <w:spacing w:after="0" w:line="240" w:lineRule="auto"/>
              <w:jc w:val="right"/>
            </w:pPr>
            <w:r>
              <w:rPr>
                <w:b/>
                <w:sz w:val="18"/>
              </w:rPr>
              <w:t>-</w:t>
            </w:r>
          </w:p>
        </w:tc>
      </w:tr>
      <w:tr w:rsidR="00E21327" w14:paraId="7EE4DE4A" w14:textId="77777777">
        <w:tblPrEx>
          <w:tblCellMar>
            <w:top w:w="0" w:type="dxa"/>
            <w:bottom w:w="0" w:type="dxa"/>
          </w:tblCellMar>
        </w:tblPrEx>
        <w:trPr>
          <w:cantSplit/>
          <w:trHeight w:val="560"/>
        </w:trPr>
        <w:tc>
          <w:tcPr>
            <w:tcW w:w="700" w:type="dxa"/>
            <w:tcMar>
              <w:top w:w="0" w:type="dxa"/>
              <w:bottom w:w="0" w:type="dxa"/>
            </w:tcMar>
            <w:vAlign w:val="center"/>
          </w:tcPr>
          <w:p w14:paraId="3C4642F8" w14:textId="77777777" w:rsidR="00E21327" w:rsidRDefault="0032056F">
            <w:pPr>
              <w:keepNext/>
              <w:keepLines/>
              <w:spacing w:after="0" w:line="240" w:lineRule="auto"/>
            </w:pPr>
            <w:r>
              <w:rPr>
                <w:sz w:val="18"/>
              </w:rPr>
              <w:t>7</w:t>
            </w:r>
          </w:p>
        </w:tc>
        <w:tc>
          <w:tcPr>
            <w:tcW w:w="3180" w:type="dxa"/>
            <w:tcMar>
              <w:top w:w="0" w:type="dxa"/>
              <w:bottom w:w="0" w:type="dxa"/>
            </w:tcMar>
            <w:vAlign w:val="center"/>
          </w:tcPr>
          <w:p w14:paraId="6E83FBD5" w14:textId="77777777" w:rsidR="00E21327" w:rsidRDefault="0032056F">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8610F1E" w14:textId="77777777" w:rsidR="00E21327" w:rsidRDefault="0032056F">
            <w:pPr>
              <w:keepNext/>
              <w:keepLines/>
              <w:spacing w:after="0" w:line="240" w:lineRule="auto"/>
            </w:pPr>
            <w:r>
              <w:rPr>
                <w:sz w:val="18"/>
              </w:rPr>
              <w:t>7</w:t>
            </w:r>
          </w:p>
        </w:tc>
        <w:tc>
          <w:tcPr>
            <w:tcW w:w="1860" w:type="dxa"/>
            <w:tcMar>
              <w:top w:w="0" w:type="dxa"/>
              <w:bottom w:w="0" w:type="dxa"/>
            </w:tcMar>
            <w:vAlign w:val="center"/>
          </w:tcPr>
          <w:p w14:paraId="1E8DCBBD" w14:textId="77777777" w:rsidR="00E21327" w:rsidRDefault="0032056F">
            <w:pPr>
              <w:keepNext/>
              <w:keepLines/>
              <w:spacing w:after="0" w:line="240" w:lineRule="auto"/>
              <w:jc w:val="right"/>
            </w:pPr>
            <w:r>
              <w:rPr>
                <w:sz w:val="18"/>
              </w:rPr>
              <w:t>0,00</w:t>
            </w:r>
          </w:p>
        </w:tc>
        <w:tc>
          <w:tcPr>
            <w:tcW w:w="1860" w:type="dxa"/>
            <w:tcMar>
              <w:top w:w="0" w:type="dxa"/>
              <w:bottom w:w="0" w:type="dxa"/>
            </w:tcMar>
            <w:vAlign w:val="center"/>
          </w:tcPr>
          <w:p w14:paraId="40CDE355" w14:textId="77777777" w:rsidR="00E21327" w:rsidRDefault="0032056F">
            <w:pPr>
              <w:keepNext/>
              <w:keepLines/>
              <w:spacing w:after="0" w:line="240" w:lineRule="auto"/>
              <w:jc w:val="right"/>
            </w:pPr>
            <w:r>
              <w:rPr>
                <w:sz w:val="18"/>
              </w:rPr>
              <w:t>0,00</w:t>
            </w:r>
          </w:p>
        </w:tc>
        <w:tc>
          <w:tcPr>
            <w:tcW w:w="700" w:type="dxa"/>
            <w:tcMar>
              <w:top w:w="0" w:type="dxa"/>
              <w:bottom w:w="0" w:type="dxa"/>
            </w:tcMar>
            <w:vAlign w:val="center"/>
          </w:tcPr>
          <w:p w14:paraId="35970D45" w14:textId="77777777" w:rsidR="00E21327" w:rsidRDefault="0032056F">
            <w:pPr>
              <w:keepNext/>
              <w:keepLines/>
              <w:spacing w:after="0" w:line="240" w:lineRule="auto"/>
              <w:jc w:val="right"/>
            </w:pPr>
            <w:r>
              <w:rPr>
                <w:sz w:val="18"/>
              </w:rPr>
              <w:t>-</w:t>
            </w:r>
          </w:p>
        </w:tc>
      </w:tr>
      <w:tr w:rsidR="00E21327" w14:paraId="58CE8543" w14:textId="77777777">
        <w:tblPrEx>
          <w:tblCellMar>
            <w:top w:w="0" w:type="dxa"/>
            <w:bottom w:w="0" w:type="dxa"/>
          </w:tblCellMar>
        </w:tblPrEx>
        <w:trPr>
          <w:cantSplit/>
          <w:trHeight w:val="560"/>
        </w:trPr>
        <w:tc>
          <w:tcPr>
            <w:tcW w:w="700" w:type="dxa"/>
            <w:tcMar>
              <w:top w:w="0" w:type="dxa"/>
              <w:bottom w:w="0" w:type="dxa"/>
            </w:tcMar>
            <w:vAlign w:val="center"/>
          </w:tcPr>
          <w:p w14:paraId="2D30AF00" w14:textId="77777777" w:rsidR="00E21327" w:rsidRDefault="0032056F">
            <w:pPr>
              <w:keepNext/>
              <w:keepLines/>
              <w:spacing w:after="0" w:line="240" w:lineRule="auto"/>
            </w:pPr>
            <w:r>
              <w:rPr>
                <w:sz w:val="18"/>
              </w:rPr>
              <w:t>4</w:t>
            </w:r>
          </w:p>
        </w:tc>
        <w:tc>
          <w:tcPr>
            <w:tcW w:w="3180" w:type="dxa"/>
            <w:tcMar>
              <w:top w:w="0" w:type="dxa"/>
              <w:bottom w:w="0" w:type="dxa"/>
            </w:tcMar>
            <w:vAlign w:val="center"/>
          </w:tcPr>
          <w:p w14:paraId="3FB65F0D" w14:textId="77777777" w:rsidR="00E21327" w:rsidRDefault="0032056F">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2695D93" w14:textId="77777777" w:rsidR="00E21327" w:rsidRDefault="0032056F">
            <w:pPr>
              <w:keepNext/>
              <w:keepLines/>
              <w:spacing w:after="0" w:line="240" w:lineRule="auto"/>
            </w:pPr>
            <w:r>
              <w:rPr>
                <w:sz w:val="18"/>
              </w:rPr>
              <w:t>4</w:t>
            </w:r>
          </w:p>
        </w:tc>
        <w:tc>
          <w:tcPr>
            <w:tcW w:w="1860" w:type="dxa"/>
            <w:tcMar>
              <w:top w:w="0" w:type="dxa"/>
              <w:bottom w:w="0" w:type="dxa"/>
            </w:tcMar>
            <w:vAlign w:val="center"/>
          </w:tcPr>
          <w:p w14:paraId="2F37A0CD" w14:textId="77777777" w:rsidR="00E21327" w:rsidRDefault="0032056F">
            <w:pPr>
              <w:keepNext/>
              <w:keepLines/>
              <w:spacing w:after="0" w:line="240" w:lineRule="auto"/>
              <w:jc w:val="right"/>
            </w:pPr>
            <w:r>
              <w:rPr>
                <w:sz w:val="18"/>
              </w:rPr>
              <w:t>3.913.759,42</w:t>
            </w:r>
          </w:p>
        </w:tc>
        <w:tc>
          <w:tcPr>
            <w:tcW w:w="1860" w:type="dxa"/>
            <w:tcMar>
              <w:top w:w="0" w:type="dxa"/>
              <w:bottom w:w="0" w:type="dxa"/>
            </w:tcMar>
            <w:vAlign w:val="center"/>
          </w:tcPr>
          <w:p w14:paraId="0420AE7F" w14:textId="77777777" w:rsidR="00E21327" w:rsidRDefault="0032056F">
            <w:pPr>
              <w:keepNext/>
              <w:keepLines/>
              <w:spacing w:after="0" w:line="240" w:lineRule="auto"/>
              <w:jc w:val="right"/>
            </w:pPr>
            <w:r>
              <w:rPr>
                <w:sz w:val="18"/>
              </w:rPr>
              <w:t>2.471.245,93</w:t>
            </w:r>
          </w:p>
        </w:tc>
        <w:tc>
          <w:tcPr>
            <w:tcW w:w="700" w:type="dxa"/>
            <w:tcMar>
              <w:top w:w="0" w:type="dxa"/>
              <w:bottom w:w="0" w:type="dxa"/>
            </w:tcMar>
            <w:vAlign w:val="center"/>
          </w:tcPr>
          <w:p w14:paraId="74D2DF54" w14:textId="77777777" w:rsidR="00E21327" w:rsidRDefault="0032056F">
            <w:pPr>
              <w:keepNext/>
              <w:keepLines/>
              <w:spacing w:after="0" w:line="240" w:lineRule="auto"/>
              <w:jc w:val="right"/>
            </w:pPr>
            <w:r>
              <w:rPr>
                <w:sz w:val="18"/>
              </w:rPr>
              <w:t>63,1</w:t>
            </w:r>
          </w:p>
        </w:tc>
      </w:tr>
      <w:tr w:rsidR="00E21327" w14:paraId="22C4A9CE" w14:textId="77777777">
        <w:tblPrEx>
          <w:tblCellMar>
            <w:top w:w="0" w:type="dxa"/>
            <w:bottom w:w="0" w:type="dxa"/>
          </w:tblCellMar>
        </w:tblPrEx>
        <w:trPr>
          <w:cantSplit/>
          <w:trHeight w:val="560"/>
        </w:trPr>
        <w:tc>
          <w:tcPr>
            <w:tcW w:w="700" w:type="dxa"/>
            <w:tcMar>
              <w:top w:w="0" w:type="dxa"/>
              <w:bottom w:w="0" w:type="dxa"/>
            </w:tcMar>
            <w:vAlign w:val="center"/>
          </w:tcPr>
          <w:p w14:paraId="05DB3CFA" w14:textId="77777777" w:rsidR="00E21327" w:rsidRDefault="00E21327">
            <w:pPr>
              <w:keepNext/>
              <w:keepLines/>
              <w:spacing w:after="0" w:line="240" w:lineRule="auto"/>
            </w:pPr>
          </w:p>
        </w:tc>
        <w:tc>
          <w:tcPr>
            <w:tcW w:w="3180" w:type="dxa"/>
            <w:tcMar>
              <w:top w:w="0" w:type="dxa"/>
              <w:bottom w:w="0" w:type="dxa"/>
            </w:tcMar>
            <w:vAlign w:val="center"/>
          </w:tcPr>
          <w:p w14:paraId="46BEE9EF" w14:textId="77777777" w:rsidR="00E21327" w:rsidRDefault="0032056F">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521489F" w14:textId="77777777" w:rsidR="00E21327" w:rsidRDefault="0032056F">
            <w:pPr>
              <w:keepNext/>
              <w:keepLines/>
              <w:spacing w:after="0" w:line="240" w:lineRule="auto"/>
            </w:pPr>
            <w:r>
              <w:rPr>
                <w:b/>
                <w:sz w:val="18"/>
              </w:rPr>
              <w:t>Y002</w:t>
            </w:r>
          </w:p>
        </w:tc>
        <w:tc>
          <w:tcPr>
            <w:tcW w:w="1860" w:type="dxa"/>
            <w:tcMar>
              <w:top w:w="0" w:type="dxa"/>
              <w:bottom w:w="0" w:type="dxa"/>
            </w:tcMar>
            <w:vAlign w:val="center"/>
          </w:tcPr>
          <w:p w14:paraId="08EBCA97" w14:textId="77777777" w:rsidR="00E21327" w:rsidRDefault="0032056F">
            <w:pPr>
              <w:keepNext/>
              <w:keepLines/>
              <w:spacing w:after="0" w:line="240" w:lineRule="auto"/>
              <w:jc w:val="right"/>
            </w:pPr>
            <w:r>
              <w:rPr>
                <w:b/>
                <w:sz w:val="18"/>
              </w:rPr>
              <w:t>3.913.759,42</w:t>
            </w:r>
          </w:p>
        </w:tc>
        <w:tc>
          <w:tcPr>
            <w:tcW w:w="1860" w:type="dxa"/>
            <w:tcMar>
              <w:top w:w="0" w:type="dxa"/>
              <w:bottom w:w="0" w:type="dxa"/>
            </w:tcMar>
            <w:vAlign w:val="center"/>
          </w:tcPr>
          <w:p w14:paraId="58C7B9A0" w14:textId="77777777" w:rsidR="00E21327" w:rsidRDefault="0032056F">
            <w:pPr>
              <w:keepNext/>
              <w:keepLines/>
              <w:spacing w:after="0" w:line="240" w:lineRule="auto"/>
              <w:jc w:val="right"/>
            </w:pPr>
            <w:r>
              <w:rPr>
                <w:b/>
                <w:sz w:val="18"/>
              </w:rPr>
              <w:t>2.471.245,93</w:t>
            </w:r>
          </w:p>
        </w:tc>
        <w:tc>
          <w:tcPr>
            <w:tcW w:w="700" w:type="dxa"/>
            <w:tcMar>
              <w:top w:w="0" w:type="dxa"/>
              <w:bottom w:w="0" w:type="dxa"/>
            </w:tcMar>
            <w:vAlign w:val="center"/>
          </w:tcPr>
          <w:p w14:paraId="012926DD" w14:textId="77777777" w:rsidR="00E21327" w:rsidRDefault="0032056F">
            <w:pPr>
              <w:keepNext/>
              <w:keepLines/>
              <w:spacing w:after="0" w:line="240" w:lineRule="auto"/>
              <w:jc w:val="right"/>
            </w:pPr>
            <w:r>
              <w:rPr>
                <w:b/>
                <w:sz w:val="18"/>
              </w:rPr>
              <w:t>63,1</w:t>
            </w:r>
          </w:p>
        </w:tc>
      </w:tr>
      <w:tr w:rsidR="00E21327" w14:paraId="3B555A4A" w14:textId="77777777">
        <w:tblPrEx>
          <w:tblCellMar>
            <w:top w:w="0" w:type="dxa"/>
            <w:bottom w:w="0" w:type="dxa"/>
          </w:tblCellMar>
        </w:tblPrEx>
        <w:trPr>
          <w:cantSplit/>
          <w:trHeight w:val="560"/>
        </w:trPr>
        <w:tc>
          <w:tcPr>
            <w:tcW w:w="700" w:type="dxa"/>
            <w:tcMar>
              <w:top w:w="0" w:type="dxa"/>
              <w:bottom w:w="0" w:type="dxa"/>
            </w:tcMar>
            <w:vAlign w:val="center"/>
          </w:tcPr>
          <w:p w14:paraId="6DB2FC2E" w14:textId="77777777" w:rsidR="00E21327" w:rsidRDefault="0032056F">
            <w:pPr>
              <w:keepNext/>
              <w:keepLines/>
              <w:spacing w:after="0" w:line="240" w:lineRule="auto"/>
            </w:pPr>
            <w:r>
              <w:rPr>
                <w:sz w:val="18"/>
              </w:rPr>
              <w:t>8</w:t>
            </w:r>
          </w:p>
        </w:tc>
        <w:tc>
          <w:tcPr>
            <w:tcW w:w="3180" w:type="dxa"/>
            <w:tcMar>
              <w:top w:w="0" w:type="dxa"/>
              <w:bottom w:w="0" w:type="dxa"/>
            </w:tcMar>
            <w:vAlign w:val="center"/>
          </w:tcPr>
          <w:p w14:paraId="06816CD5" w14:textId="77777777" w:rsidR="00E21327" w:rsidRDefault="0032056F">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E38E9D7" w14:textId="77777777" w:rsidR="00E21327" w:rsidRDefault="0032056F">
            <w:pPr>
              <w:keepNext/>
              <w:keepLines/>
              <w:spacing w:after="0" w:line="240" w:lineRule="auto"/>
            </w:pPr>
            <w:r>
              <w:rPr>
                <w:sz w:val="18"/>
              </w:rPr>
              <w:t>8</w:t>
            </w:r>
          </w:p>
        </w:tc>
        <w:tc>
          <w:tcPr>
            <w:tcW w:w="1860" w:type="dxa"/>
            <w:tcMar>
              <w:top w:w="0" w:type="dxa"/>
              <w:bottom w:w="0" w:type="dxa"/>
            </w:tcMar>
            <w:vAlign w:val="center"/>
          </w:tcPr>
          <w:p w14:paraId="586FBB5D" w14:textId="77777777" w:rsidR="00E21327" w:rsidRDefault="0032056F">
            <w:pPr>
              <w:keepNext/>
              <w:keepLines/>
              <w:spacing w:after="0" w:line="240" w:lineRule="auto"/>
              <w:jc w:val="right"/>
            </w:pPr>
            <w:r>
              <w:rPr>
                <w:sz w:val="18"/>
              </w:rPr>
              <w:t>0,00</w:t>
            </w:r>
          </w:p>
        </w:tc>
        <w:tc>
          <w:tcPr>
            <w:tcW w:w="1860" w:type="dxa"/>
            <w:tcMar>
              <w:top w:w="0" w:type="dxa"/>
              <w:bottom w:w="0" w:type="dxa"/>
            </w:tcMar>
            <w:vAlign w:val="center"/>
          </w:tcPr>
          <w:p w14:paraId="5173CBF4" w14:textId="77777777" w:rsidR="00E21327" w:rsidRDefault="0032056F">
            <w:pPr>
              <w:keepNext/>
              <w:keepLines/>
              <w:spacing w:after="0" w:line="240" w:lineRule="auto"/>
              <w:jc w:val="right"/>
            </w:pPr>
            <w:r>
              <w:rPr>
                <w:sz w:val="18"/>
              </w:rPr>
              <w:t>0,00</w:t>
            </w:r>
          </w:p>
        </w:tc>
        <w:tc>
          <w:tcPr>
            <w:tcW w:w="700" w:type="dxa"/>
            <w:tcMar>
              <w:top w:w="0" w:type="dxa"/>
              <w:bottom w:w="0" w:type="dxa"/>
            </w:tcMar>
            <w:vAlign w:val="center"/>
          </w:tcPr>
          <w:p w14:paraId="6264426E" w14:textId="77777777" w:rsidR="00E21327" w:rsidRDefault="0032056F">
            <w:pPr>
              <w:keepNext/>
              <w:keepLines/>
              <w:spacing w:after="0" w:line="240" w:lineRule="auto"/>
              <w:jc w:val="right"/>
            </w:pPr>
            <w:r>
              <w:rPr>
                <w:sz w:val="18"/>
              </w:rPr>
              <w:t>-</w:t>
            </w:r>
          </w:p>
        </w:tc>
      </w:tr>
      <w:tr w:rsidR="00E21327" w14:paraId="53A28D75" w14:textId="77777777">
        <w:tblPrEx>
          <w:tblCellMar>
            <w:top w:w="0" w:type="dxa"/>
            <w:bottom w:w="0" w:type="dxa"/>
          </w:tblCellMar>
        </w:tblPrEx>
        <w:trPr>
          <w:cantSplit/>
          <w:trHeight w:val="560"/>
        </w:trPr>
        <w:tc>
          <w:tcPr>
            <w:tcW w:w="700" w:type="dxa"/>
            <w:tcMar>
              <w:top w:w="0" w:type="dxa"/>
              <w:bottom w:w="0" w:type="dxa"/>
            </w:tcMar>
            <w:vAlign w:val="center"/>
          </w:tcPr>
          <w:p w14:paraId="5475AB0A" w14:textId="77777777" w:rsidR="00E21327" w:rsidRDefault="0032056F">
            <w:pPr>
              <w:keepNext/>
              <w:keepLines/>
              <w:spacing w:after="0" w:line="240" w:lineRule="auto"/>
            </w:pPr>
            <w:r>
              <w:rPr>
                <w:sz w:val="18"/>
              </w:rPr>
              <w:t>5</w:t>
            </w:r>
          </w:p>
        </w:tc>
        <w:tc>
          <w:tcPr>
            <w:tcW w:w="3180" w:type="dxa"/>
            <w:tcMar>
              <w:top w:w="0" w:type="dxa"/>
              <w:bottom w:w="0" w:type="dxa"/>
            </w:tcMar>
            <w:vAlign w:val="center"/>
          </w:tcPr>
          <w:p w14:paraId="412F7686" w14:textId="77777777" w:rsidR="00E21327" w:rsidRDefault="0032056F">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4E2CEFE" w14:textId="77777777" w:rsidR="00E21327" w:rsidRDefault="0032056F">
            <w:pPr>
              <w:keepNext/>
              <w:keepLines/>
              <w:spacing w:after="0" w:line="240" w:lineRule="auto"/>
            </w:pPr>
            <w:r>
              <w:rPr>
                <w:sz w:val="18"/>
              </w:rPr>
              <w:t>5</w:t>
            </w:r>
          </w:p>
        </w:tc>
        <w:tc>
          <w:tcPr>
            <w:tcW w:w="1860" w:type="dxa"/>
            <w:tcMar>
              <w:top w:w="0" w:type="dxa"/>
              <w:bottom w:w="0" w:type="dxa"/>
            </w:tcMar>
            <w:vAlign w:val="center"/>
          </w:tcPr>
          <w:p w14:paraId="1C2BB7B9" w14:textId="77777777" w:rsidR="00E21327" w:rsidRDefault="0032056F">
            <w:pPr>
              <w:keepNext/>
              <w:keepLines/>
              <w:spacing w:after="0" w:line="240" w:lineRule="auto"/>
              <w:jc w:val="right"/>
            </w:pPr>
            <w:r>
              <w:rPr>
                <w:sz w:val="18"/>
              </w:rPr>
              <w:t>0,00</w:t>
            </w:r>
          </w:p>
        </w:tc>
        <w:tc>
          <w:tcPr>
            <w:tcW w:w="1860" w:type="dxa"/>
            <w:tcMar>
              <w:top w:w="0" w:type="dxa"/>
              <w:bottom w:w="0" w:type="dxa"/>
            </w:tcMar>
            <w:vAlign w:val="center"/>
          </w:tcPr>
          <w:p w14:paraId="5433F8B1" w14:textId="77777777" w:rsidR="00E21327" w:rsidRDefault="0032056F">
            <w:pPr>
              <w:keepNext/>
              <w:keepLines/>
              <w:spacing w:after="0" w:line="240" w:lineRule="auto"/>
              <w:jc w:val="right"/>
            </w:pPr>
            <w:r>
              <w:rPr>
                <w:sz w:val="18"/>
              </w:rPr>
              <w:t>0,00</w:t>
            </w:r>
          </w:p>
        </w:tc>
        <w:tc>
          <w:tcPr>
            <w:tcW w:w="700" w:type="dxa"/>
            <w:tcMar>
              <w:top w:w="0" w:type="dxa"/>
              <w:bottom w:w="0" w:type="dxa"/>
            </w:tcMar>
            <w:vAlign w:val="center"/>
          </w:tcPr>
          <w:p w14:paraId="68D878E3" w14:textId="77777777" w:rsidR="00E21327" w:rsidRDefault="0032056F">
            <w:pPr>
              <w:keepNext/>
              <w:keepLines/>
              <w:spacing w:after="0" w:line="240" w:lineRule="auto"/>
              <w:jc w:val="right"/>
            </w:pPr>
            <w:r>
              <w:rPr>
                <w:sz w:val="18"/>
              </w:rPr>
              <w:t>-</w:t>
            </w:r>
          </w:p>
        </w:tc>
      </w:tr>
      <w:tr w:rsidR="00E21327" w14:paraId="17B1AD0C" w14:textId="77777777">
        <w:tblPrEx>
          <w:tblCellMar>
            <w:top w:w="0" w:type="dxa"/>
            <w:bottom w:w="0" w:type="dxa"/>
          </w:tblCellMar>
        </w:tblPrEx>
        <w:trPr>
          <w:cantSplit/>
          <w:trHeight w:val="560"/>
        </w:trPr>
        <w:tc>
          <w:tcPr>
            <w:tcW w:w="700" w:type="dxa"/>
            <w:tcMar>
              <w:top w:w="0" w:type="dxa"/>
              <w:bottom w:w="0" w:type="dxa"/>
            </w:tcMar>
            <w:vAlign w:val="center"/>
          </w:tcPr>
          <w:p w14:paraId="1E19980C" w14:textId="77777777" w:rsidR="00E21327" w:rsidRDefault="00E21327">
            <w:pPr>
              <w:keepNext/>
              <w:keepLines/>
              <w:spacing w:after="0" w:line="240" w:lineRule="auto"/>
            </w:pPr>
          </w:p>
        </w:tc>
        <w:tc>
          <w:tcPr>
            <w:tcW w:w="3180" w:type="dxa"/>
            <w:tcMar>
              <w:top w:w="0" w:type="dxa"/>
              <w:bottom w:w="0" w:type="dxa"/>
            </w:tcMar>
            <w:vAlign w:val="center"/>
          </w:tcPr>
          <w:p w14:paraId="56EAD654" w14:textId="77777777" w:rsidR="00E21327" w:rsidRDefault="0032056F">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A2D49C8" w14:textId="77777777" w:rsidR="00E21327" w:rsidRDefault="0032056F">
            <w:pPr>
              <w:keepNext/>
              <w:keepLines/>
              <w:spacing w:after="0" w:line="240" w:lineRule="auto"/>
            </w:pPr>
            <w:r>
              <w:rPr>
                <w:b/>
                <w:sz w:val="18"/>
              </w:rPr>
              <w:t>X003, Y003</w:t>
            </w:r>
          </w:p>
        </w:tc>
        <w:tc>
          <w:tcPr>
            <w:tcW w:w="1860" w:type="dxa"/>
            <w:tcMar>
              <w:top w:w="0" w:type="dxa"/>
              <w:bottom w:w="0" w:type="dxa"/>
            </w:tcMar>
            <w:vAlign w:val="center"/>
          </w:tcPr>
          <w:p w14:paraId="06743B67" w14:textId="77777777" w:rsidR="00E21327" w:rsidRDefault="0032056F">
            <w:pPr>
              <w:keepNext/>
              <w:keepLines/>
              <w:spacing w:after="0" w:line="240" w:lineRule="auto"/>
              <w:jc w:val="right"/>
            </w:pPr>
            <w:r>
              <w:rPr>
                <w:b/>
                <w:sz w:val="18"/>
              </w:rPr>
              <w:t>0,00</w:t>
            </w:r>
          </w:p>
        </w:tc>
        <w:tc>
          <w:tcPr>
            <w:tcW w:w="1860" w:type="dxa"/>
            <w:tcMar>
              <w:top w:w="0" w:type="dxa"/>
              <w:bottom w:w="0" w:type="dxa"/>
            </w:tcMar>
            <w:vAlign w:val="center"/>
          </w:tcPr>
          <w:p w14:paraId="3417854F" w14:textId="77777777" w:rsidR="00E21327" w:rsidRDefault="0032056F">
            <w:pPr>
              <w:keepNext/>
              <w:keepLines/>
              <w:spacing w:after="0" w:line="240" w:lineRule="auto"/>
              <w:jc w:val="right"/>
            </w:pPr>
            <w:r>
              <w:rPr>
                <w:b/>
                <w:sz w:val="18"/>
              </w:rPr>
              <w:t>0,00</w:t>
            </w:r>
          </w:p>
        </w:tc>
        <w:tc>
          <w:tcPr>
            <w:tcW w:w="700" w:type="dxa"/>
            <w:tcMar>
              <w:top w:w="0" w:type="dxa"/>
              <w:bottom w:w="0" w:type="dxa"/>
            </w:tcMar>
            <w:vAlign w:val="center"/>
          </w:tcPr>
          <w:p w14:paraId="0561E598" w14:textId="77777777" w:rsidR="00E21327" w:rsidRDefault="0032056F">
            <w:pPr>
              <w:keepNext/>
              <w:keepLines/>
              <w:spacing w:after="0" w:line="240" w:lineRule="auto"/>
              <w:jc w:val="right"/>
            </w:pPr>
            <w:r>
              <w:rPr>
                <w:b/>
                <w:sz w:val="18"/>
              </w:rPr>
              <w:t>-</w:t>
            </w:r>
          </w:p>
        </w:tc>
      </w:tr>
      <w:tr w:rsidR="00E21327" w14:paraId="4837B9C5" w14:textId="77777777">
        <w:tblPrEx>
          <w:tblCellMar>
            <w:top w:w="0" w:type="dxa"/>
            <w:bottom w:w="0" w:type="dxa"/>
          </w:tblCellMar>
        </w:tblPrEx>
        <w:trPr>
          <w:cantSplit/>
          <w:trHeight w:val="560"/>
        </w:trPr>
        <w:tc>
          <w:tcPr>
            <w:tcW w:w="700" w:type="dxa"/>
            <w:tcMar>
              <w:top w:w="0" w:type="dxa"/>
              <w:bottom w:w="0" w:type="dxa"/>
            </w:tcMar>
            <w:vAlign w:val="center"/>
          </w:tcPr>
          <w:p w14:paraId="16485B03" w14:textId="77777777" w:rsidR="00E21327" w:rsidRDefault="00E21327">
            <w:pPr>
              <w:keepNext/>
              <w:keepLines/>
              <w:spacing w:after="0" w:line="240" w:lineRule="auto"/>
            </w:pPr>
          </w:p>
        </w:tc>
        <w:tc>
          <w:tcPr>
            <w:tcW w:w="3180" w:type="dxa"/>
            <w:tcMar>
              <w:top w:w="0" w:type="dxa"/>
              <w:bottom w:w="0" w:type="dxa"/>
            </w:tcMar>
            <w:vAlign w:val="center"/>
          </w:tcPr>
          <w:p w14:paraId="70D837A9" w14:textId="77777777" w:rsidR="00E21327" w:rsidRDefault="0032056F">
            <w:pPr>
              <w:keepNext/>
              <w:keepLines/>
              <w:spacing w:after="0" w:line="240" w:lineRule="auto"/>
            </w:pPr>
            <w:r>
              <w:rPr>
                <w:b/>
                <w:sz w:val="18"/>
              </w:rPr>
              <w:t>MANJAK PRIHODA I PRIMITAKA (šifre Y345-X678)</w:t>
            </w:r>
          </w:p>
        </w:tc>
        <w:tc>
          <w:tcPr>
            <w:tcW w:w="700" w:type="dxa"/>
            <w:tcMar>
              <w:top w:w="0" w:type="dxa"/>
              <w:bottom w:w="0" w:type="dxa"/>
            </w:tcMar>
            <w:vAlign w:val="center"/>
          </w:tcPr>
          <w:p w14:paraId="31DC49BA" w14:textId="77777777" w:rsidR="00E21327" w:rsidRDefault="0032056F">
            <w:pPr>
              <w:keepNext/>
              <w:keepLines/>
              <w:spacing w:after="0" w:line="240" w:lineRule="auto"/>
            </w:pPr>
            <w:r>
              <w:rPr>
                <w:b/>
                <w:sz w:val="18"/>
              </w:rPr>
              <w:t>Y005</w:t>
            </w:r>
          </w:p>
        </w:tc>
        <w:tc>
          <w:tcPr>
            <w:tcW w:w="1860" w:type="dxa"/>
            <w:tcMar>
              <w:top w:w="0" w:type="dxa"/>
              <w:bottom w:w="0" w:type="dxa"/>
            </w:tcMar>
            <w:vAlign w:val="center"/>
          </w:tcPr>
          <w:p w14:paraId="6B053DCF" w14:textId="77777777" w:rsidR="00E21327" w:rsidRDefault="0032056F">
            <w:pPr>
              <w:keepNext/>
              <w:keepLines/>
              <w:spacing w:after="0" w:line="240" w:lineRule="auto"/>
              <w:jc w:val="right"/>
            </w:pPr>
            <w:r>
              <w:rPr>
                <w:b/>
                <w:sz w:val="18"/>
              </w:rPr>
              <w:t>0,00</w:t>
            </w:r>
          </w:p>
        </w:tc>
        <w:tc>
          <w:tcPr>
            <w:tcW w:w="1860" w:type="dxa"/>
            <w:tcMar>
              <w:top w:w="0" w:type="dxa"/>
              <w:bottom w:w="0" w:type="dxa"/>
            </w:tcMar>
            <w:vAlign w:val="center"/>
          </w:tcPr>
          <w:p w14:paraId="432114DA" w14:textId="77777777" w:rsidR="00E21327" w:rsidRDefault="0032056F">
            <w:pPr>
              <w:keepNext/>
              <w:keepLines/>
              <w:spacing w:after="0" w:line="240" w:lineRule="auto"/>
              <w:jc w:val="right"/>
            </w:pPr>
            <w:r>
              <w:rPr>
                <w:b/>
                <w:sz w:val="18"/>
              </w:rPr>
              <w:t>10.972.430,70</w:t>
            </w:r>
          </w:p>
        </w:tc>
        <w:tc>
          <w:tcPr>
            <w:tcW w:w="700" w:type="dxa"/>
            <w:tcMar>
              <w:top w:w="0" w:type="dxa"/>
              <w:bottom w:w="0" w:type="dxa"/>
            </w:tcMar>
            <w:vAlign w:val="center"/>
          </w:tcPr>
          <w:p w14:paraId="6729C356" w14:textId="77777777" w:rsidR="00E21327" w:rsidRDefault="0032056F">
            <w:pPr>
              <w:keepNext/>
              <w:keepLines/>
              <w:spacing w:after="0" w:line="240" w:lineRule="auto"/>
              <w:jc w:val="right"/>
            </w:pPr>
            <w:r>
              <w:rPr>
                <w:b/>
                <w:sz w:val="18"/>
              </w:rPr>
              <w:t>-</w:t>
            </w:r>
          </w:p>
        </w:tc>
      </w:tr>
    </w:tbl>
    <w:p w14:paraId="1CDE9A41" w14:textId="77777777" w:rsidR="00E21327" w:rsidRDefault="00E21327">
      <w:pPr>
        <w:spacing w:after="0"/>
      </w:pPr>
    </w:p>
    <w:p w14:paraId="22D0615E" w14:textId="77777777" w:rsidR="00E21327" w:rsidRDefault="0032056F">
      <w:r>
        <w:t xml:space="preserve">U razdoblju od 1. siječnja do 31. prosinca 2025. prihodi poslovanja ostvareni su u iznosu od 395.914.278,31 EUR. Najznačajnije odstupanje prihoda poslovanja u odnosu na prethodnu (2024. godinu) izraženo je prilikom evidentiranja prihoda Tekuće/kapitalne pomoći od institucija i tijela EU na izvorima financiranja 55, 56, 57 i 58 odnosno računima 6323 i 6324. U 2024. godini spomenuti prihodi evidentirali su se na računima 6323 i 6324. Od 1.1.2025. </w:t>
      </w:r>
      <w:r>
        <w:lastRenderedPageBreak/>
        <w:t>godine prihodi na tim izvorima financiranja evidentiraju se u okviru skupine 6711 te je zbog toga došlo do razlike u ostvarenju u 2025. godini u odnosu na 2024. godinu. Do povećanja prihoda došlo je i zbog realizacije rješenja o priznavanju prava na osobnu asistenciju temeljem Zakona o osobnoj asistenciji (NN 71/2023) te izrade informacijskog sustava za jedinstvenu elektroničku evidenciju rada. Rashodi poslovanja u razdoblju od 1. siječnja do 31. prosinca 2025. godine ostvareni su u iznosu od 404.415.463,08</w:t>
      </w:r>
      <w:r>
        <w:t xml:space="preserve"> EUR. Povećanje rashoda evidentirano je na Kapitalnim pomoćima drugom proračunu i izvanproračunskim korisnicima zbog realizacije poziva koji se odnosi na poboljšanje dostupnosti integrirane cjelovite skrbi za starije osobe unapređenjem infrastrukture za pružanje socijalnih usluga za starije osobe. Porast rashoda na šifri 3661 u 2025. godini u odnosu na 2024. godinu najvećim dijelom odnosi se na troškove sanacije Doma za starije osobe Ličko-senjske županije temeljem Vladine Odluke o sanaciji Doma za starije </w:t>
      </w:r>
      <w:r>
        <w:t>osobe Ličko - senjske županije NN 111/2024. U navedenom razdoblju nema ostvarenih prihoda od prodaje nefinancijske imovine, dok su rashodi za nabavu nefinancijske imovine ostvareni u iznosu od 2.471.245,93 EUR. U navedenom razdoblju nije bilo ostvarenih primitaka i izdataka od financijske imovine i zaduživanja. U razdoblju od 1. siječnja do 31. prosinca 2025. godine ostvaren je manjak prihoda poslovanja u iznosu od 10.972.430,70 EUR koji je nastao radi izmjena i dopuna Pravilnika o izmjenama i dopunama Prav</w:t>
      </w:r>
      <w:r>
        <w:t>ilnika o proračunskom računovodstvu i računskom planu prema kojem je ukinuta podskupina računa 193 – Kontinuirani rashodi budućih razdoblja.</w:t>
      </w:r>
    </w:p>
    <w:p w14:paraId="2F341E01" w14:textId="77777777" w:rsidR="00E21327" w:rsidRDefault="0032056F">
      <w:r>
        <w:t xml:space="preserve">Ukupan rezultat na kraju izvještajnog razdoblja, šifra X006 iznosi 31.869.275,98 </w:t>
      </w:r>
      <w:proofErr w:type="spellStart"/>
      <w:r>
        <w:t>eur</w:t>
      </w:r>
      <w:proofErr w:type="spellEnd"/>
      <w:r>
        <w:t xml:space="preserve">. U odnosu na 2024. godinu značajnije smanjenje odnosi se na metodološki manjak iz 2025. godine temeljem izmjena i dopuna Pravilnika o izmjenama i dopunama Pravilnika o proračunskom računovodstvu i računskom planu prema kojem je ukinuta podskupina računa 193 – Kontinuirani rashodi budućih razdoblja. Iznos od 31.869.275.8 </w:t>
      </w:r>
      <w:proofErr w:type="spellStart"/>
      <w:r>
        <w:t>eur</w:t>
      </w:r>
      <w:proofErr w:type="spellEnd"/>
      <w:r>
        <w:t xml:space="preserve"> najvećim dijelom odnosi se na prihode od igara na sreću i od prihoda po posebnim propisima (izvor financiranja 43) koji ostvaruju ustanove socijalne skrbi.</w:t>
      </w:r>
    </w:p>
    <w:p w14:paraId="7D6FD172" w14:textId="77777777" w:rsidR="00E21327" w:rsidRDefault="0032056F">
      <w:r>
        <w:br/>
      </w:r>
    </w:p>
    <w:p w14:paraId="45C2EE63" w14:textId="77777777" w:rsidR="00E21327" w:rsidRDefault="0032056F">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21327" w14:paraId="2E4A9C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401C10" w14:textId="77777777" w:rsidR="00E21327" w:rsidRDefault="003205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817252" w14:textId="77777777" w:rsidR="00E21327" w:rsidRDefault="003205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0B8BD5" w14:textId="77777777" w:rsidR="00E21327" w:rsidRDefault="003205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002E45" w14:textId="77777777" w:rsidR="00E21327" w:rsidRDefault="0032056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FBAFE9" w14:textId="77777777" w:rsidR="00E21327" w:rsidRDefault="0032056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9842E2" w14:textId="77777777" w:rsidR="00E21327" w:rsidRDefault="0032056F">
            <w:pPr>
              <w:keepNext/>
              <w:keepLines/>
              <w:spacing w:after="0" w:line="240" w:lineRule="auto"/>
              <w:jc w:val="center"/>
            </w:pPr>
            <w:r>
              <w:rPr>
                <w:b/>
                <w:sz w:val="18"/>
              </w:rPr>
              <w:t>Indeks (%)</w:t>
            </w:r>
          </w:p>
        </w:tc>
      </w:tr>
      <w:tr w:rsidR="00E21327" w14:paraId="07C7EE67" w14:textId="77777777">
        <w:tblPrEx>
          <w:tblCellMar>
            <w:top w:w="0" w:type="dxa"/>
            <w:bottom w:w="0" w:type="dxa"/>
          </w:tblCellMar>
        </w:tblPrEx>
        <w:trPr>
          <w:cantSplit/>
          <w:trHeight w:val="560"/>
        </w:trPr>
        <w:tc>
          <w:tcPr>
            <w:tcW w:w="700" w:type="dxa"/>
            <w:tcMar>
              <w:top w:w="0" w:type="dxa"/>
              <w:bottom w:w="0" w:type="dxa"/>
            </w:tcMar>
            <w:vAlign w:val="center"/>
          </w:tcPr>
          <w:p w14:paraId="7F5A8198" w14:textId="77777777" w:rsidR="00E21327" w:rsidRDefault="0032056F">
            <w:pPr>
              <w:keepNext/>
              <w:keepLines/>
              <w:spacing w:after="0" w:line="240" w:lineRule="auto"/>
            </w:pPr>
            <w:r>
              <w:rPr>
                <w:sz w:val="18"/>
              </w:rPr>
              <w:t>6711</w:t>
            </w:r>
          </w:p>
        </w:tc>
        <w:tc>
          <w:tcPr>
            <w:tcW w:w="3180" w:type="dxa"/>
            <w:tcMar>
              <w:top w:w="0" w:type="dxa"/>
              <w:bottom w:w="0" w:type="dxa"/>
            </w:tcMar>
            <w:vAlign w:val="center"/>
          </w:tcPr>
          <w:p w14:paraId="4E2AA5B2" w14:textId="77777777" w:rsidR="00E21327" w:rsidRDefault="0032056F">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552372B5" w14:textId="77777777" w:rsidR="00E21327" w:rsidRDefault="0032056F">
            <w:pPr>
              <w:keepNext/>
              <w:keepLines/>
              <w:spacing w:after="0" w:line="240" w:lineRule="auto"/>
            </w:pPr>
            <w:r>
              <w:rPr>
                <w:sz w:val="18"/>
              </w:rPr>
              <w:t>6711</w:t>
            </w:r>
          </w:p>
        </w:tc>
        <w:tc>
          <w:tcPr>
            <w:tcW w:w="1860" w:type="dxa"/>
            <w:tcMar>
              <w:top w:w="0" w:type="dxa"/>
              <w:bottom w:w="0" w:type="dxa"/>
            </w:tcMar>
            <w:vAlign w:val="center"/>
          </w:tcPr>
          <w:p w14:paraId="4BF469D0" w14:textId="77777777" w:rsidR="00E21327" w:rsidRDefault="0032056F">
            <w:pPr>
              <w:keepNext/>
              <w:keepLines/>
              <w:spacing w:after="0" w:line="240" w:lineRule="auto"/>
              <w:jc w:val="right"/>
            </w:pPr>
            <w:r>
              <w:rPr>
                <w:sz w:val="18"/>
              </w:rPr>
              <w:t>241.768.895,89</w:t>
            </w:r>
          </w:p>
        </w:tc>
        <w:tc>
          <w:tcPr>
            <w:tcW w:w="1860" w:type="dxa"/>
            <w:tcMar>
              <w:top w:w="0" w:type="dxa"/>
              <w:bottom w:w="0" w:type="dxa"/>
            </w:tcMar>
            <w:vAlign w:val="center"/>
          </w:tcPr>
          <w:p w14:paraId="7A8C2527" w14:textId="77777777" w:rsidR="00E21327" w:rsidRDefault="0032056F">
            <w:pPr>
              <w:keepNext/>
              <w:keepLines/>
              <w:spacing w:after="0" w:line="240" w:lineRule="auto"/>
              <w:jc w:val="right"/>
            </w:pPr>
            <w:r>
              <w:rPr>
                <w:sz w:val="18"/>
              </w:rPr>
              <w:t>368.024.557,05</w:t>
            </w:r>
          </w:p>
        </w:tc>
        <w:tc>
          <w:tcPr>
            <w:tcW w:w="700" w:type="dxa"/>
            <w:tcMar>
              <w:top w:w="0" w:type="dxa"/>
              <w:bottom w:w="0" w:type="dxa"/>
            </w:tcMar>
            <w:vAlign w:val="center"/>
          </w:tcPr>
          <w:p w14:paraId="6D7A4C24" w14:textId="77777777" w:rsidR="00E21327" w:rsidRDefault="0032056F">
            <w:pPr>
              <w:keepNext/>
              <w:keepLines/>
              <w:spacing w:after="0" w:line="240" w:lineRule="auto"/>
              <w:jc w:val="right"/>
            </w:pPr>
            <w:r>
              <w:rPr>
                <w:sz w:val="18"/>
              </w:rPr>
              <w:t>152,2</w:t>
            </w:r>
          </w:p>
        </w:tc>
      </w:tr>
    </w:tbl>
    <w:p w14:paraId="1C11997F" w14:textId="77777777" w:rsidR="00E21327" w:rsidRDefault="00E21327">
      <w:pPr>
        <w:spacing w:after="0"/>
      </w:pPr>
    </w:p>
    <w:p w14:paraId="6A3A59D4" w14:textId="77777777" w:rsidR="00E21327" w:rsidRDefault="0032056F">
      <w:r>
        <w:t>Do povećanja prihoda na šifri 6711 došlo je zbog novog načina evidentiranja prihoda iz EU sredstava, odnosno izvora financiranja 561, 581 i 815. U 2024. godini prihodi na izvorima financiranja 561, 581 i 815 evidentirali su se u okviru skupine 632.</w:t>
      </w:r>
    </w:p>
    <w:p w14:paraId="5B94F8CC" w14:textId="77777777" w:rsidR="00E21327" w:rsidRDefault="00E21327"/>
    <w:p w14:paraId="7D19A1B1" w14:textId="77777777" w:rsidR="00E21327" w:rsidRDefault="0032056F">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21327" w14:paraId="7F3EB4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5CFF9B" w14:textId="77777777" w:rsidR="00E21327" w:rsidRDefault="003205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C6C456" w14:textId="77777777" w:rsidR="00E21327" w:rsidRDefault="003205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66E7B6" w14:textId="77777777" w:rsidR="00E21327" w:rsidRDefault="003205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D43477" w14:textId="77777777" w:rsidR="00E21327" w:rsidRDefault="0032056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EDA31B" w14:textId="77777777" w:rsidR="00E21327" w:rsidRDefault="0032056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970F9C" w14:textId="77777777" w:rsidR="00E21327" w:rsidRDefault="0032056F">
            <w:pPr>
              <w:keepNext/>
              <w:keepLines/>
              <w:spacing w:after="0" w:line="240" w:lineRule="auto"/>
              <w:jc w:val="center"/>
            </w:pPr>
            <w:r>
              <w:rPr>
                <w:b/>
                <w:sz w:val="18"/>
              </w:rPr>
              <w:t>Indeks (%)</w:t>
            </w:r>
          </w:p>
        </w:tc>
      </w:tr>
      <w:tr w:rsidR="00E21327" w14:paraId="6B37EAE8" w14:textId="77777777">
        <w:tblPrEx>
          <w:tblCellMar>
            <w:top w:w="0" w:type="dxa"/>
            <w:bottom w:w="0" w:type="dxa"/>
          </w:tblCellMar>
        </w:tblPrEx>
        <w:trPr>
          <w:cantSplit/>
          <w:trHeight w:val="560"/>
        </w:trPr>
        <w:tc>
          <w:tcPr>
            <w:tcW w:w="700" w:type="dxa"/>
            <w:tcMar>
              <w:top w:w="0" w:type="dxa"/>
              <w:bottom w:w="0" w:type="dxa"/>
            </w:tcMar>
            <w:vAlign w:val="center"/>
          </w:tcPr>
          <w:p w14:paraId="239EA03D" w14:textId="77777777" w:rsidR="00E21327" w:rsidRDefault="0032056F">
            <w:pPr>
              <w:keepNext/>
              <w:keepLines/>
              <w:spacing w:after="0" w:line="240" w:lineRule="auto"/>
            </w:pPr>
            <w:r>
              <w:rPr>
                <w:sz w:val="18"/>
              </w:rPr>
              <w:t>6712</w:t>
            </w:r>
          </w:p>
        </w:tc>
        <w:tc>
          <w:tcPr>
            <w:tcW w:w="3180" w:type="dxa"/>
            <w:tcMar>
              <w:top w:w="0" w:type="dxa"/>
              <w:bottom w:w="0" w:type="dxa"/>
            </w:tcMar>
            <w:vAlign w:val="center"/>
          </w:tcPr>
          <w:p w14:paraId="1775F7A4" w14:textId="77777777" w:rsidR="00E21327" w:rsidRDefault="0032056F">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23A9F9E4" w14:textId="77777777" w:rsidR="00E21327" w:rsidRDefault="0032056F">
            <w:pPr>
              <w:keepNext/>
              <w:keepLines/>
              <w:spacing w:after="0" w:line="240" w:lineRule="auto"/>
            </w:pPr>
            <w:r>
              <w:rPr>
                <w:sz w:val="18"/>
              </w:rPr>
              <w:t>6712</w:t>
            </w:r>
          </w:p>
        </w:tc>
        <w:tc>
          <w:tcPr>
            <w:tcW w:w="1860" w:type="dxa"/>
            <w:tcMar>
              <w:top w:w="0" w:type="dxa"/>
              <w:bottom w:w="0" w:type="dxa"/>
            </w:tcMar>
            <w:vAlign w:val="center"/>
          </w:tcPr>
          <w:p w14:paraId="4AE452DB" w14:textId="77777777" w:rsidR="00E21327" w:rsidRDefault="0032056F">
            <w:pPr>
              <w:keepNext/>
              <w:keepLines/>
              <w:spacing w:after="0" w:line="240" w:lineRule="auto"/>
              <w:jc w:val="right"/>
            </w:pPr>
            <w:r>
              <w:rPr>
                <w:sz w:val="18"/>
              </w:rPr>
              <w:t>615.162,80</w:t>
            </w:r>
          </w:p>
        </w:tc>
        <w:tc>
          <w:tcPr>
            <w:tcW w:w="1860" w:type="dxa"/>
            <w:tcMar>
              <w:top w:w="0" w:type="dxa"/>
              <w:bottom w:w="0" w:type="dxa"/>
            </w:tcMar>
            <w:vAlign w:val="center"/>
          </w:tcPr>
          <w:p w14:paraId="344B69C9" w14:textId="77777777" w:rsidR="00E21327" w:rsidRDefault="0032056F">
            <w:pPr>
              <w:keepNext/>
              <w:keepLines/>
              <w:spacing w:after="0" w:line="240" w:lineRule="auto"/>
              <w:jc w:val="right"/>
            </w:pPr>
            <w:r>
              <w:rPr>
                <w:sz w:val="18"/>
              </w:rPr>
              <w:t>2.474.892,43</w:t>
            </w:r>
          </w:p>
        </w:tc>
        <w:tc>
          <w:tcPr>
            <w:tcW w:w="700" w:type="dxa"/>
            <w:tcMar>
              <w:top w:w="0" w:type="dxa"/>
              <w:bottom w:w="0" w:type="dxa"/>
            </w:tcMar>
            <w:vAlign w:val="center"/>
          </w:tcPr>
          <w:p w14:paraId="4C260FC6" w14:textId="77777777" w:rsidR="00E21327" w:rsidRDefault="0032056F">
            <w:pPr>
              <w:keepNext/>
              <w:keepLines/>
              <w:spacing w:after="0" w:line="240" w:lineRule="auto"/>
              <w:jc w:val="right"/>
            </w:pPr>
            <w:r>
              <w:rPr>
                <w:sz w:val="18"/>
              </w:rPr>
              <w:t>402,3</w:t>
            </w:r>
          </w:p>
        </w:tc>
      </w:tr>
    </w:tbl>
    <w:p w14:paraId="5B3BA72A" w14:textId="77777777" w:rsidR="00E21327" w:rsidRDefault="00E21327">
      <w:pPr>
        <w:spacing w:after="0"/>
      </w:pPr>
    </w:p>
    <w:p w14:paraId="1A88CADB" w14:textId="77777777" w:rsidR="00E21327" w:rsidRDefault="0032056F">
      <w:r>
        <w:t>Povećanje prihoda evidentirano je šifri 6712 najvećim dijelom zbog realizacije poziva koji se odnosi na poboljšanje dostupnosti integrirane cjelovite skrbi za starije osobe unapređenjem infrastrukture za pružanje socijalnih usluga za starije osobe. Sredstva za izgradnju prenose se županijskim proračunima.</w:t>
      </w:r>
    </w:p>
    <w:p w14:paraId="0CDAE9CF" w14:textId="77777777" w:rsidR="00E21327" w:rsidRDefault="00E21327"/>
    <w:p w14:paraId="45487128" w14:textId="77777777" w:rsidR="00E21327" w:rsidRDefault="0032056F">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21327" w14:paraId="2533DF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29E5E6" w14:textId="77777777" w:rsidR="00E21327" w:rsidRDefault="003205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655E47" w14:textId="77777777" w:rsidR="00E21327" w:rsidRDefault="003205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DEACB2" w14:textId="77777777" w:rsidR="00E21327" w:rsidRDefault="003205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941FE0" w14:textId="77777777" w:rsidR="00E21327" w:rsidRDefault="0032056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97ADD7" w14:textId="77777777" w:rsidR="00E21327" w:rsidRDefault="0032056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F4E64D" w14:textId="77777777" w:rsidR="00E21327" w:rsidRDefault="0032056F">
            <w:pPr>
              <w:keepNext/>
              <w:keepLines/>
              <w:spacing w:after="0" w:line="240" w:lineRule="auto"/>
              <w:jc w:val="center"/>
            </w:pPr>
            <w:r>
              <w:rPr>
                <w:b/>
                <w:sz w:val="18"/>
              </w:rPr>
              <w:t>Indeks (%)</w:t>
            </w:r>
          </w:p>
        </w:tc>
      </w:tr>
      <w:tr w:rsidR="00E21327" w14:paraId="66F10F27" w14:textId="77777777">
        <w:tblPrEx>
          <w:tblCellMar>
            <w:top w:w="0" w:type="dxa"/>
            <w:bottom w:w="0" w:type="dxa"/>
          </w:tblCellMar>
        </w:tblPrEx>
        <w:trPr>
          <w:cantSplit/>
          <w:trHeight w:val="560"/>
        </w:trPr>
        <w:tc>
          <w:tcPr>
            <w:tcW w:w="700" w:type="dxa"/>
            <w:tcMar>
              <w:top w:w="0" w:type="dxa"/>
              <w:bottom w:w="0" w:type="dxa"/>
            </w:tcMar>
            <w:vAlign w:val="center"/>
          </w:tcPr>
          <w:p w14:paraId="521609A9" w14:textId="77777777" w:rsidR="00E21327" w:rsidRDefault="0032056F">
            <w:pPr>
              <w:keepNext/>
              <w:keepLines/>
              <w:spacing w:after="0" w:line="240" w:lineRule="auto"/>
            </w:pPr>
            <w:r>
              <w:rPr>
                <w:sz w:val="18"/>
              </w:rPr>
              <w:t>3651</w:t>
            </w:r>
          </w:p>
        </w:tc>
        <w:tc>
          <w:tcPr>
            <w:tcW w:w="3180" w:type="dxa"/>
            <w:tcMar>
              <w:top w:w="0" w:type="dxa"/>
              <w:bottom w:w="0" w:type="dxa"/>
            </w:tcMar>
            <w:vAlign w:val="center"/>
          </w:tcPr>
          <w:p w14:paraId="327D75C2" w14:textId="77777777" w:rsidR="00E21327" w:rsidRDefault="0032056F">
            <w:pPr>
              <w:keepNext/>
              <w:keepLines/>
              <w:spacing w:after="0" w:line="240" w:lineRule="auto"/>
            </w:pPr>
            <w:r>
              <w:rPr>
                <w:sz w:val="18"/>
              </w:rPr>
              <w:t>Tekuće pomoći izravnanja za decentralizirane funkcije</w:t>
            </w:r>
          </w:p>
        </w:tc>
        <w:tc>
          <w:tcPr>
            <w:tcW w:w="700" w:type="dxa"/>
            <w:tcMar>
              <w:top w:w="0" w:type="dxa"/>
              <w:bottom w:w="0" w:type="dxa"/>
            </w:tcMar>
            <w:vAlign w:val="center"/>
          </w:tcPr>
          <w:p w14:paraId="121B5365" w14:textId="77777777" w:rsidR="00E21327" w:rsidRDefault="0032056F">
            <w:pPr>
              <w:keepNext/>
              <w:keepLines/>
              <w:spacing w:after="0" w:line="240" w:lineRule="auto"/>
            </w:pPr>
            <w:r>
              <w:rPr>
                <w:sz w:val="18"/>
              </w:rPr>
              <w:t>3651</w:t>
            </w:r>
          </w:p>
        </w:tc>
        <w:tc>
          <w:tcPr>
            <w:tcW w:w="1860" w:type="dxa"/>
            <w:tcMar>
              <w:top w:w="0" w:type="dxa"/>
              <w:bottom w:w="0" w:type="dxa"/>
            </w:tcMar>
            <w:vAlign w:val="center"/>
          </w:tcPr>
          <w:p w14:paraId="3D5AFAD8" w14:textId="77777777" w:rsidR="00E21327" w:rsidRDefault="0032056F">
            <w:pPr>
              <w:keepNext/>
              <w:keepLines/>
              <w:spacing w:after="0" w:line="240" w:lineRule="auto"/>
              <w:jc w:val="right"/>
            </w:pPr>
            <w:r>
              <w:rPr>
                <w:sz w:val="18"/>
              </w:rPr>
              <w:t>0,00</w:t>
            </w:r>
          </w:p>
        </w:tc>
        <w:tc>
          <w:tcPr>
            <w:tcW w:w="1860" w:type="dxa"/>
            <w:tcMar>
              <w:top w:w="0" w:type="dxa"/>
              <w:bottom w:w="0" w:type="dxa"/>
            </w:tcMar>
            <w:vAlign w:val="center"/>
          </w:tcPr>
          <w:p w14:paraId="6656104D" w14:textId="77777777" w:rsidR="00E21327" w:rsidRDefault="0032056F">
            <w:pPr>
              <w:keepNext/>
              <w:keepLines/>
              <w:spacing w:after="0" w:line="240" w:lineRule="auto"/>
              <w:jc w:val="right"/>
            </w:pPr>
            <w:r>
              <w:rPr>
                <w:sz w:val="18"/>
              </w:rPr>
              <w:t>13.876.049,35</w:t>
            </w:r>
          </w:p>
        </w:tc>
        <w:tc>
          <w:tcPr>
            <w:tcW w:w="700" w:type="dxa"/>
            <w:tcMar>
              <w:top w:w="0" w:type="dxa"/>
              <w:bottom w:w="0" w:type="dxa"/>
            </w:tcMar>
            <w:vAlign w:val="center"/>
          </w:tcPr>
          <w:p w14:paraId="0EBC4007" w14:textId="77777777" w:rsidR="00E21327" w:rsidRDefault="0032056F">
            <w:pPr>
              <w:keepNext/>
              <w:keepLines/>
              <w:spacing w:after="0" w:line="240" w:lineRule="auto"/>
              <w:jc w:val="right"/>
            </w:pPr>
            <w:r>
              <w:rPr>
                <w:sz w:val="18"/>
              </w:rPr>
              <w:t>-</w:t>
            </w:r>
          </w:p>
        </w:tc>
      </w:tr>
    </w:tbl>
    <w:p w14:paraId="48DF375D" w14:textId="77777777" w:rsidR="00E21327" w:rsidRDefault="00E21327">
      <w:pPr>
        <w:spacing w:after="0"/>
      </w:pPr>
    </w:p>
    <w:p w14:paraId="365BCFB7" w14:textId="77777777" w:rsidR="00E21327" w:rsidRDefault="0032056F">
      <w:r>
        <w:t xml:space="preserve">Sredstva doznačena županijama iz </w:t>
      </w:r>
      <w:proofErr w:type="spellStart"/>
      <w:r>
        <w:t>dec</w:t>
      </w:r>
      <w:proofErr w:type="spellEnd"/>
      <w:r>
        <w:t xml:space="preserve"> funkcija u 2024. godini evidentirane su na računu 36314 – Tekuće pomoći županijskim proračunima.</w:t>
      </w:r>
    </w:p>
    <w:p w14:paraId="7B3C6CA7" w14:textId="77777777" w:rsidR="00E21327" w:rsidRDefault="00E21327"/>
    <w:p w14:paraId="58214651" w14:textId="77777777" w:rsidR="00E21327" w:rsidRDefault="0032056F">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21327" w14:paraId="76B34D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9370D0" w14:textId="77777777" w:rsidR="00E21327" w:rsidRDefault="003205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5B97CF" w14:textId="77777777" w:rsidR="00E21327" w:rsidRDefault="003205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DB952D" w14:textId="77777777" w:rsidR="00E21327" w:rsidRDefault="003205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F6A2EE" w14:textId="77777777" w:rsidR="00E21327" w:rsidRDefault="0032056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D57E84" w14:textId="77777777" w:rsidR="00E21327" w:rsidRDefault="0032056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638A09" w14:textId="77777777" w:rsidR="00E21327" w:rsidRDefault="0032056F">
            <w:pPr>
              <w:keepNext/>
              <w:keepLines/>
              <w:spacing w:after="0" w:line="240" w:lineRule="auto"/>
              <w:jc w:val="center"/>
            </w:pPr>
            <w:r>
              <w:rPr>
                <w:b/>
                <w:sz w:val="18"/>
              </w:rPr>
              <w:t>Indeks (%)</w:t>
            </w:r>
          </w:p>
        </w:tc>
      </w:tr>
      <w:tr w:rsidR="00E21327" w14:paraId="0A581284" w14:textId="77777777">
        <w:tblPrEx>
          <w:tblCellMar>
            <w:top w:w="0" w:type="dxa"/>
            <w:bottom w:w="0" w:type="dxa"/>
          </w:tblCellMar>
        </w:tblPrEx>
        <w:trPr>
          <w:cantSplit/>
          <w:trHeight w:val="560"/>
        </w:trPr>
        <w:tc>
          <w:tcPr>
            <w:tcW w:w="700" w:type="dxa"/>
            <w:tcMar>
              <w:top w:w="0" w:type="dxa"/>
              <w:bottom w:w="0" w:type="dxa"/>
            </w:tcMar>
            <w:vAlign w:val="center"/>
          </w:tcPr>
          <w:p w14:paraId="57A9F24B" w14:textId="77777777" w:rsidR="00E21327" w:rsidRDefault="0032056F">
            <w:pPr>
              <w:keepNext/>
              <w:keepLines/>
              <w:spacing w:after="0" w:line="240" w:lineRule="auto"/>
            </w:pPr>
            <w:r>
              <w:rPr>
                <w:sz w:val="18"/>
              </w:rPr>
              <w:t>3661</w:t>
            </w:r>
          </w:p>
        </w:tc>
        <w:tc>
          <w:tcPr>
            <w:tcW w:w="3180" w:type="dxa"/>
            <w:tcMar>
              <w:top w:w="0" w:type="dxa"/>
              <w:bottom w:w="0" w:type="dxa"/>
            </w:tcMar>
            <w:vAlign w:val="center"/>
          </w:tcPr>
          <w:p w14:paraId="2DC10761" w14:textId="77777777" w:rsidR="00E21327" w:rsidRDefault="0032056F">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6144EFCD" w14:textId="77777777" w:rsidR="00E21327" w:rsidRDefault="0032056F">
            <w:pPr>
              <w:keepNext/>
              <w:keepLines/>
              <w:spacing w:after="0" w:line="240" w:lineRule="auto"/>
            </w:pPr>
            <w:r>
              <w:rPr>
                <w:sz w:val="18"/>
              </w:rPr>
              <w:t>3661</w:t>
            </w:r>
          </w:p>
        </w:tc>
        <w:tc>
          <w:tcPr>
            <w:tcW w:w="1860" w:type="dxa"/>
            <w:tcMar>
              <w:top w:w="0" w:type="dxa"/>
              <w:bottom w:w="0" w:type="dxa"/>
            </w:tcMar>
            <w:vAlign w:val="center"/>
          </w:tcPr>
          <w:p w14:paraId="2CB063F7" w14:textId="77777777" w:rsidR="00E21327" w:rsidRDefault="0032056F">
            <w:pPr>
              <w:keepNext/>
              <w:keepLines/>
              <w:spacing w:after="0" w:line="240" w:lineRule="auto"/>
              <w:jc w:val="right"/>
            </w:pPr>
            <w:r>
              <w:rPr>
                <w:sz w:val="18"/>
              </w:rPr>
              <w:t>1.403.691,16</w:t>
            </w:r>
          </w:p>
        </w:tc>
        <w:tc>
          <w:tcPr>
            <w:tcW w:w="1860" w:type="dxa"/>
            <w:tcMar>
              <w:top w:w="0" w:type="dxa"/>
              <w:bottom w:w="0" w:type="dxa"/>
            </w:tcMar>
            <w:vAlign w:val="center"/>
          </w:tcPr>
          <w:p w14:paraId="05F7C211" w14:textId="77777777" w:rsidR="00E21327" w:rsidRDefault="0032056F">
            <w:pPr>
              <w:keepNext/>
              <w:keepLines/>
              <w:spacing w:after="0" w:line="240" w:lineRule="auto"/>
              <w:jc w:val="right"/>
            </w:pPr>
            <w:r>
              <w:rPr>
                <w:sz w:val="18"/>
              </w:rPr>
              <w:t>5.403.640,03</w:t>
            </w:r>
          </w:p>
        </w:tc>
        <w:tc>
          <w:tcPr>
            <w:tcW w:w="700" w:type="dxa"/>
            <w:tcMar>
              <w:top w:w="0" w:type="dxa"/>
              <w:bottom w:w="0" w:type="dxa"/>
            </w:tcMar>
            <w:vAlign w:val="center"/>
          </w:tcPr>
          <w:p w14:paraId="0CDCB6A8" w14:textId="77777777" w:rsidR="00E21327" w:rsidRDefault="0032056F">
            <w:pPr>
              <w:keepNext/>
              <w:keepLines/>
              <w:spacing w:after="0" w:line="240" w:lineRule="auto"/>
              <w:jc w:val="right"/>
            </w:pPr>
            <w:r>
              <w:rPr>
                <w:sz w:val="18"/>
              </w:rPr>
              <w:t>385,0</w:t>
            </w:r>
          </w:p>
        </w:tc>
      </w:tr>
    </w:tbl>
    <w:p w14:paraId="6FCB105E" w14:textId="77777777" w:rsidR="00E21327" w:rsidRDefault="00E21327">
      <w:pPr>
        <w:spacing w:after="0"/>
      </w:pPr>
    </w:p>
    <w:p w14:paraId="5C3FCBC0" w14:textId="77777777" w:rsidR="00E21327" w:rsidRDefault="0032056F">
      <w:r>
        <w:t>Porast rashoda na šifri 3661 u 2025. godini u odnosu na 2024. godinu najvećim dijelom odnosi se na troškove sanacije Doma za starije osobe Ličko-senjske županije temeljem Vladine Odluke o sanaciji Doma za starije osobe Ličko - senjske županije NN 111/2024. </w:t>
      </w:r>
    </w:p>
    <w:p w14:paraId="16786A48" w14:textId="77777777" w:rsidR="00E21327" w:rsidRDefault="00E21327"/>
    <w:p w14:paraId="2492045B" w14:textId="77777777" w:rsidR="00E21327" w:rsidRDefault="0032056F">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21327" w14:paraId="23A8B1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BDD361" w14:textId="77777777" w:rsidR="00E21327" w:rsidRDefault="003205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62EC2E" w14:textId="77777777" w:rsidR="00E21327" w:rsidRDefault="003205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0B868A" w14:textId="77777777" w:rsidR="00E21327" w:rsidRDefault="003205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353034" w14:textId="77777777" w:rsidR="00E21327" w:rsidRDefault="0032056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870D17" w14:textId="77777777" w:rsidR="00E21327" w:rsidRDefault="0032056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0DE8CD" w14:textId="77777777" w:rsidR="00E21327" w:rsidRDefault="0032056F">
            <w:pPr>
              <w:keepNext/>
              <w:keepLines/>
              <w:spacing w:after="0" w:line="240" w:lineRule="auto"/>
              <w:jc w:val="center"/>
            </w:pPr>
            <w:r>
              <w:rPr>
                <w:b/>
                <w:sz w:val="18"/>
              </w:rPr>
              <w:t>Indeks (%)</w:t>
            </w:r>
          </w:p>
        </w:tc>
      </w:tr>
      <w:tr w:rsidR="00E21327" w14:paraId="0518037F" w14:textId="77777777">
        <w:tblPrEx>
          <w:tblCellMar>
            <w:top w:w="0" w:type="dxa"/>
            <w:bottom w:w="0" w:type="dxa"/>
          </w:tblCellMar>
        </w:tblPrEx>
        <w:trPr>
          <w:cantSplit/>
          <w:trHeight w:val="560"/>
        </w:trPr>
        <w:tc>
          <w:tcPr>
            <w:tcW w:w="700" w:type="dxa"/>
            <w:tcMar>
              <w:top w:w="0" w:type="dxa"/>
              <w:bottom w:w="0" w:type="dxa"/>
            </w:tcMar>
            <w:vAlign w:val="center"/>
          </w:tcPr>
          <w:p w14:paraId="19BBC693" w14:textId="77777777" w:rsidR="00E21327" w:rsidRDefault="0032056F">
            <w:pPr>
              <w:keepNext/>
              <w:keepLines/>
              <w:spacing w:after="0" w:line="240" w:lineRule="auto"/>
            </w:pPr>
            <w:r>
              <w:rPr>
                <w:sz w:val="18"/>
              </w:rPr>
              <w:t>3681</w:t>
            </w:r>
          </w:p>
        </w:tc>
        <w:tc>
          <w:tcPr>
            <w:tcW w:w="3180" w:type="dxa"/>
            <w:tcMar>
              <w:top w:w="0" w:type="dxa"/>
              <w:bottom w:w="0" w:type="dxa"/>
            </w:tcMar>
            <w:vAlign w:val="center"/>
          </w:tcPr>
          <w:p w14:paraId="53BDA8BA" w14:textId="77777777" w:rsidR="00E21327" w:rsidRDefault="0032056F">
            <w:pPr>
              <w:keepNext/>
              <w:keepLines/>
              <w:spacing w:after="0" w:line="240" w:lineRule="auto"/>
            </w:pPr>
            <w:r>
              <w:rPr>
                <w:sz w:val="18"/>
              </w:rPr>
              <w:t>Tekuće pomoći temeljem prijenosa EU sredstava</w:t>
            </w:r>
          </w:p>
        </w:tc>
        <w:tc>
          <w:tcPr>
            <w:tcW w:w="700" w:type="dxa"/>
            <w:tcMar>
              <w:top w:w="0" w:type="dxa"/>
              <w:bottom w:w="0" w:type="dxa"/>
            </w:tcMar>
            <w:vAlign w:val="center"/>
          </w:tcPr>
          <w:p w14:paraId="2DFED1AC" w14:textId="77777777" w:rsidR="00E21327" w:rsidRDefault="0032056F">
            <w:pPr>
              <w:keepNext/>
              <w:keepLines/>
              <w:spacing w:after="0" w:line="240" w:lineRule="auto"/>
            </w:pPr>
            <w:r>
              <w:rPr>
                <w:sz w:val="18"/>
              </w:rPr>
              <w:t>3681</w:t>
            </w:r>
          </w:p>
        </w:tc>
        <w:tc>
          <w:tcPr>
            <w:tcW w:w="1860" w:type="dxa"/>
            <w:tcMar>
              <w:top w:w="0" w:type="dxa"/>
              <w:bottom w:w="0" w:type="dxa"/>
            </w:tcMar>
            <w:vAlign w:val="center"/>
          </w:tcPr>
          <w:p w14:paraId="23BE6EC1" w14:textId="77777777" w:rsidR="00E21327" w:rsidRDefault="0032056F">
            <w:pPr>
              <w:keepNext/>
              <w:keepLines/>
              <w:spacing w:after="0" w:line="240" w:lineRule="auto"/>
              <w:jc w:val="right"/>
            </w:pPr>
            <w:r>
              <w:rPr>
                <w:sz w:val="18"/>
              </w:rPr>
              <w:t>27.623.990,81</w:t>
            </w:r>
          </w:p>
        </w:tc>
        <w:tc>
          <w:tcPr>
            <w:tcW w:w="1860" w:type="dxa"/>
            <w:tcMar>
              <w:top w:w="0" w:type="dxa"/>
              <w:bottom w:w="0" w:type="dxa"/>
            </w:tcMar>
            <w:vAlign w:val="center"/>
          </w:tcPr>
          <w:p w14:paraId="5BABAF96" w14:textId="77777777" w:rsidR="00E21327" w:rsidRDefault="0032056F">
            <w:pPr>
              <w:keepNext/>
              <w:keepLines/>
              <w:spacing w:after="0" w:line="240" w:lineRule="auto"/>
              <w:jc w:val="right"/>
            </w:pPr>
            <w:r>
              <w:rPr>
                <w:sz w:val="18"/>
              </w:rPr>
              <w:t>58.877.517,41</w:t>
            </w:r>
          </w:p>
        </w:tc>
        <w:tc>
          <w:tcPr>
            <w:tcW w:w="700" w:type="dxa"/>
            <w:tcMar>
              <w:top w:w="0" w:type="dxa"/>
              <w:bottom w:w="0" w:type="dxa"/>
            </w:tcMar>
            <w:vAlign w:val="center"/>
          </w:tcPr>
          <w:p w14:paraId="647C06A6" w14:textId="77777777" w:rsidR="00E21327" w:rsidRDefault="0032056F">
            <w:pPr>
              <w:keepNext/>
              <w:keepLines/>
              <w:spacing w:after="0" w:line="240" w:lineRule="auto"/>
              <w:jc w:val="right"/>
            </w:pPr>
            <w:r>
              <w:rPr>
                <w:sz w:val="18"/>
              </w:rPr>
              <w:t>213,1</w:t>
            </w:r>
          </w:p>
        </w:tc>
      </w:tr>
    </w:tbl>
    <w:p w14:paraId="054AD5EA" w14:textId="77777777" w:rsidR="00E21327" w:rsidRDefault="00E21327">
      <w:pPr>
        <w:spacing w:after="0"/>
      </w:pPr>
    </w:p>
    <w:p w14:paraId="22FD1D05" w14:textId="77777777" w:rsidR="00E21327" w:rsidRDefault="0032056F">
      <w:r>
        <w:t>Rashodi su povećani zbog realizacije ugovora na EU projektima u okviru operativnog programa Učinkoviti ljudski potencijali (ESF+).</w:t>
      </w:r>
    </w:p>
    <w:p w14:paraId="634F0655" w14:textId="77777777" w:rsidR="00E21327" w:rsidRDefault="00E21327"/>
    <w:p w14:paraId="69B2C996" w14:textId="77777777" w:rsidR="00E21327" w:rsidRDefault="0032056F">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21327" w14:paraId="134A00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EC701D" w14:textId="77777777" w:rsidR="00E21327" w:rsidRDefault="003205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95BC3D" w14:textId="77777777" w:rsidR="00E21327" w:rsidRDefault="003205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633060" w14:textId="77777777" w:rsidR="00E21327" w:rsidRDefault="003205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439FE7" w14:textId="77777777" w:rsidR="00E21327" w:rsidRDefault="0032056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5A3044" w14:textId="77777777" w:rsidR="00E21327" w:rsidRDefault="0032056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FA8841" w14:textId="77777777" w:rsidR="00E21327" w:rsidRDefault="0032056F">
            <w:pPr>
              <w:keepNext/>
              <w:keepLines/>
              <w:spacing w:after="0" w:line="240" w:lineRule="auto"/>
              <w:jc w:val="center"/>
            </w:pPr>
            <w:r>
              <w:rPr>
                <w:b/>
                <w:sz w:val="18"/>
              </w:rPr>
              <w:t>Indeks (%)</w:t>
            </w:r>
          </w:p>
        </w:tc>
      </w:tr>
      <w:tr w:rsidR="00E21327" w14:paraId="344B0340" w14:textId="77777777">
        <w:tblPrEx>
          <w:tblCellMar>
            <w:top w:w="0" w:type="dxa"/>
            <w:bottom w:w="0" w:type="dxa"/>
          </w:tblCellMar>
        </w:tblPrEx>
        <w:trPr>
          <w:cantSplit/>
          <w:trHeight w:val="560"/>
        </w:trPr>
        <w:tc>
          <w:tcPr>
            <w:tcW w:w="700" w:type="dxa"/>
            <w:tcMar>
              <w:top w:w="0" w:type="dxa"/>
              <w:bottom w:w="0" w:type="dxa"/>
            </w:tcMar>
            <w:vAlign w:val="center"/>
          </w:tcPr>
          <w:p w14:paraId="19021501" w14:textId="77777777" w:rsidR="00E21327" w:rsidRDefault="0032056F">
            <w:pPr>
              <w:keepNext/>
              <w:keepLines/>
              <w:spacing w:after="0" w:line="240" w:lineRule="auto"/>
            </w:pPr>
            <w:r>
              <w:rPr>
                <w:sz w:val="18"/>
              </w:rPr>
              <w:t>369</w:t>
            </w:r>
          </w:p>
        </w:tc>
        <w:tc>
          <w:tcPr>
            <w:tcW w:w="3180" w:type="dxa"/>
            <w:tcMar>
              <w:top w:w="0" w:type="dxa"/>
              <w:bottom w:w="0" w:type="dxa"/>
            </w:tcMar>
            <w:vAlign w:val="center"/>
          </w:tcPr>
          <w:p w14:paraId="7FEC8D6B" w14:textId="77777777" w:rsidR="00E21327" w:rsidRDefault="0032056F">
            <w:pPr>
              <w:keepNext/>
              <w:keepLines/>
              <w:spacing w:after="0" w:line="240" w:lineRule="auto"/>
            </w:pPr>
            <w:r>
              <w:rPr>
                <w:sz w:val="18"/>
              </w:rPr>
              <w:t>Prijenosi između proračunskih korisnika istog proračuna (šifre 3691 do 3694)</w:t>
            </w:r>
          </w:p>
        </w:tc>
        <w:tc>
          <w:tcPr>
            <w:tcW w:w="700" w:type="dxa"/>
            <w:tcMar>
              <w:top w:w="0" w:type="dxa"/>
              <w:bottom w:w="0" w:type="dxa"/>
            </w:tcMar>
            <w:vAlign w:val="center"/>
          </w:tcPr>
          <w:p w14:paraId="30FA3BB5" w14:textId="77777777" w:rsidR="00E21327" w:rsidRDefault="0032056F">
            <w:pPr>
              <w:keepNext/>
              <w:keepLines/>
              <w:spacing w:after="0" w:line="240" w:lineRule="auto"/>
            </w:pPr>
            <w:r>
              <w:rPr>
                <w:sz w:val="18"/>
              </w:rPr>
              <w:t>369</w:t>
            </w:r>
          </w:p>
        </w:tc>
        <w:tc>
          <w:tcPr>
            <w:tcW w:w="1860" w:type="dxa"/>
            <w:tcMar>
              <w:top w:w="0" w:type="dxa"/>
              <w:bottom w:w="0" w:type="dxa"/>
            </w:tcMar>
            <w:vAlign w:val="center"/>
          </w:tcPr>
          <w:p w14:paraId="0AD14FB8" w14:textId="77777777" w:rsidR="00E21327" w:rsidRDefault="0032056F">
            <w:pPr>
              <w:keepNext/>
              <w:keepLines/>
              <w:spacing w:after="0" w:line="240" w:lineRule="auto"/>
              <w:jc w:val="right"/>
            </w:pPr>
            <w:r>
              <w:rPr>
                <w:sz w:val="18"/>
              </w:rPr>
              <w:t>200,00</w:t>
            </w:r>
          </w:p>
        </w:tc>
        <w:tc>
          <w:tcPr>
            <w:tcW w:w="1860" w:type="dxa"/>
            <w:tcMar>
              <w:top w:w="0" w:type="dxa"/>
              <w:bottom w:w="0" w:type="dxa"/>
            </w:tcMar>
            <w:vAlign w:val="center"/>
          </w:tcPr>
          <w:p w14:paraId="1AEC0BD4" w14:textId="77777777" w:rsidR="00E21327" w:rsidRDefault="0032056F">
            <w:pPr>
              <w:keepNext/>
              <w:keepLines/>
              <w:spacing w:after="0" w:line="240" w:lineRule="auto"/>
              <w:jc w:val="right"/>
            </w:pPr>
            <w:r>
              <w:rPr>
                <w:sz w:val="18"/>
              </w:rPr>
              <w:t>1.241.248,07</w:t>
            </w:r>
          </w:p>
        </w:tc>
        <w:tc>
          <w:tcPr>
            <w:tcW w:w="700" w:type="dxa"/>
            <w:tcMar>
              <w:top w:w="0" w:type="dxa"/>
              <w:bottom w:w="0" w:type="dxa"/>
            </w:tcMar>
            <w:vAlign w:val="center"/>
          </w:tcPr>
          <w:p w14:paraId="6C8E9084" w14:textId="77777777" w:rsidR="00E21327" w:rsidRDefault="0032056F">
            <w:pPr>
              <w:keepNext/>
              <w:keepLines/>
              <w:spacing w:after="0" w:line="240" w:lineRule="auto"/>
              <w:jc w:val="right"/>
            </w:pPr>
            <w:r>
              <w:rPr>
                <w:sz w:val="18"/>
              </w:rPr>
              <w:t>&gt;&gt;100</w:t>
            </w:r>
          </w:p>
        </w:tc>
      </w:tr>
    </w:tbl>
    <w:p w14:paraId="3CC88C49" w14:textId="77777777" w:rsidR="00E21327" w:rsidRDefault="00E21327">
      <w:pPr>
        <w:spacing w:after="0"/>
      </w:pPr>
    </w:p>
    <w:p w14:paraId="74BAA4C8" w14:textId="77777777" w:rsidR="00E21327" w:rsidRDefault="0032056F">
      <w:r>
        <w:t>Temeljem Upute Promjene u računovodstvenom praćenju izvora financiranja 43 Ostali prihodi za posebne namjene kod ustanova u socijalnoj skrbi i Ministarstva  svaka Ustanova u svom knjigovodstvu naplaćeni prihod u cijelosti evidentira na osnovnom računu 65264 Sufinanciranje cijene usluge, participacije i slično, bez obzira na to hoće li potrošiti sva naplaćena sredstva. Ako do kraja obračunskog razdoblja  ne potroši cijeli naplaćeni iznos, razliku evidentira na osnovnom računu 36911, a ako potroši više nego š</w:t>
      </w:r>
      <w:r>
        <w:t>to je naplatila razliku evidentira na osnovnom računu 63911.</w:t>
      </w:r>
    </w:p>
    <w:p w14:paraId="37508BCF" w14:textId="77777777" w:rsidR="00E21327" w:rsidRDefault="0032056F">
      <w:r>
        <w:t>U svom financijskom izvještaju Ministarstvo ne iskazuje prihod na računu 65264 Sufinanciranje cijene usluge, participacije i slično i ne iskazuje rashode Ustanova. Navedene prihode i rashode iskazuju Ustanove u svojim financijskim izvještajima te se u državnom proračunu  evidentiraju na glavi 08660 Proračunski korisnici u socijalnoj skrbi. Ako postoji nepotrošeni iznos tekućih uplaćenih sredstava Ministarstvo u svom financijskom izvještaju iskazuje na odjeljcima 1672 i 6391, a obzirom su u 2025. godini usta</w:t>
      </w:r>
      <w:r>
        <w:t>nove potrošile više nego što su naplatile tijekom 2025. godine, u svom financijskom izvještaju Ministarstvo za iznos više doznačen Ustanovama koji je financiran iz prenesenog viška  iskazuje na podskupini 369, a za isti taj iznos umanjuje preneseni višak i iznos na podskupini 167.</w:t>
      </w:r>
    </w:p>
    <w:p w14:paraId="2810677B" w14:textId="77777777" w:rsidR="00E21327" w:rsidRDefault="0032056F">
      <w:r>
        <w:t> </w:t>
      </w:r>
    </w:p>
    <w:p w14:paraId="185EA703" w14:textId="77777777" w:rsidR="00E21327" w:rsidRDefault="00E21327"/>
    <w:p w14:paraId="0239E2F4" w14:textId="77777777" w:rsidR="00E21327" w:rsidRDefault="0032056F">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21327" w14:paraId="71E8BD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C45B59" w14:textId="77777777" w:rsidR="00E21327" w:rsidRDefault="003205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F11B5B" w14:textId="77777777" w:rsidR="00E21327" w:rsidRDefault="003205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B3617A" w14:textId="77777777" w:rsidR="00E21327" w:rsidRDefault="003205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AF34F9" w14:textId="77777777" w:rsidR="00E21327" w:rsidRDefault="0032056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902260" w14:textId="77777777" w:rsidR="00E21327" w:rsidRDefault="0032056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83A89F" w14:textId="77777777" w:rsidR="00E21327" w:rsidRDefault="0032056F">
            <w:pPr>
              <w:keepNext/>
              <w:keepLines/>
              <w:spacing w:after="0" w:line="240" w:lineRule="auto"/>
              <w:jc w:val="center"/>
            </w:pPr>
            <w:r>
              <w:rPr>
                <w:b/>
                <w:sz w:val="18"/>
              </w:rPr>
              <w:t>Indeks (%)</w:t>
            </w:r>
          </w:p>
        </w:tc>
      </w:tr>
      <w:tr w:rsidR="00E21327" w14:paraId="083C5EDC" w14:textId="77777777">
        <w:tblPrEx>
          <w:tblCellMar>
            <w:top w:w="0" w:type="dxa"/>
            <w:bottom w:w="0" w:type="dxa"/>
          </w:tblCellMar>
        </w:tblPrEx>
        <w:trPr>
          <w:cantSplit/>
          <w:trHeight w:val="560"/>
        </w:trPr>
        <w:tc>
          <w:tcPr>
            <w:tcW w:w="700" w:type="dxa"/>
            <w:tcMar>
              <w:top w:w="0" w:type="dxa"/>
              <w:bottom w:w="0" w:type="dxa"/>
            </w:tcMar>
            <w:vAlign w:val="center"/>
          </w:tcPr>
          <w:p w14:paraId="08B6992C" w14:textId="77777777" w:rsidR="00E21327" w:rsidRDefault="0032056F">
            <w:pPr>
              <w:keepNext/>
              <w:keepLines/>
              <w:spacing w:after="0" w:line="240" w:lineRule="auto"/>
            </w:pPr>
            <w:r>
              <w:rPr>
                <w:sz w:val="18"/>
              </w:rPr>
              <w:t>3813</w:t>
            </w:r>
          </w:p>
        </w:tc>
        <w:tc>
          <w:tcPr>
            <w:tcW w:w="3180" w:type="dxa"/>
            <w:tcMar>
              <w:top w:w="0" w:type="dxa"/>
              <w:bottom w:w="0" w:type="dxa"/>
            </w:tcMar>
            <w:vAlign w:val="center"/>
          </w:tcPr>
          <w:p w14:paraId="601ED991" w14:textId="77777777" w:rsidR="00E21327" w:rsidRDefault="0032056F">
            <w:pPr>
              <w:keepNext/>
              <w:keepLines/>
              <w:spacing w:after="0" w:line="240" w:lineRule="auto"/>
            </w:pPr>
            <w:r>
              <w:rPr>
                <w:sz w:val="18"/>
              </w:rPr>
              <w:t>Tekuće donacije iz EU sredstava</w:t>
            </w:r>
          </w:p>
        </w:tc>
        <w:tc>
          <w:tcPr>
            <w:tcW w:w="700" w:type="dxa"/>
            <w:tcMar>
              <w:top w:w="0" w:type="dxa"/>
              <w:bottom w:w="0" w:type="dxa"/>
            </w:tcMar>
            <w:vAlign w:val="center"/>
          </w:tcPr>
          <w:p w14:paraId="1A8D6C71" w14:textId="77777777" w:rsidR="00E21327" w:rsidRDefault="0032056F">
            <w:pPr>
              <w:keepNext/>
              <w:keepLines/>
              <w:spacing w:after="0" w:line="240" w:lineRule="auto"/>
            </w:pPr>
            <w:r>
              <w:rPr>
                <w:sz w:val="18"/>
              </w:rPr>
              <w:t>3813</w:t>
            </w:r>
          </w:p>
        </w:tc>
        <w:tc>
          <w:tcPr>
            <w:tcW w:w="1860" w:type="dxa"/>
            <w:tcMar>
              <w:top w:w="0" w:type="dxa"/>
              <w:bottom w:w="0" w:type="dxa"/>
            </w:tcMar>
            <w:vAlign w:val="center"/>
          </w:tcPr>
          <w:p w14:paraId="3E85D995" w14:textId="77777777" w:rsidR="00E21327" w:rsidRDefault="0032056F">
            <w:pPr>
              <w:keepNext/>
              <w:keepLines/>
              <w:spacing w:after="0" w:line="240" w:lineRule="auto"/>
              <w:jc w:val="right"/>
            </w:pPr>
            <w:r>
              <w:rPr>
                <w:sz w:val="18"/>
              </w:rPr>
              <w:t>32.172.732,70</w:t>
            </w:r>
          </w:p>
        </w:tc>
        <w:tc>
          <w:tcPr>
            <w:tcW w:w="1860" w:type="dxa"/>
            <w:tcMar>
              <w:top w:w="0" w:type="dxa"/>
              <w:bottom w:w="0" w:type="dxa"/>
            </w:tcMar>
            <w:vAlign w:val="center"/>
          </w:tcPr>
          <w:p w14:paraId="2FF8FB40" w14:textId="77777777" w:rsidR="00E21327" w:rsidRDefault="0032056F">
            <w:pPr>
              <w:keepNext/>
              <w:keepLines/>
              <w:spacing w:after="0" w:line="240" w:lineRule="auto"/>
              <w:jc w:val="right"/>
            </w:pPr>
            <w:r>
              <w:rPr>
                <w:sz w:val="18"/>
              </w:rPr>
              <w:t>65.740.879,14</w:t>
            </w:r>
          </w:p>
        </w:tc>
        <w:tc>
          <w:tcPr>
            <w:tcW w:w="700" w:type="dxa"/>
            <w:tcMar>
              <w:top w:w="0" w:type="dxa"/>
              <w:bottom w:w="0" w:type="dxa"/>
            </w:tcMar>
            <w:vAlign w:val="center"/>
          </w:tcPr>
          <w:p w14:paraId="7DCBA315" w14:textId="77777777" w:rsidR="00E21327" w:rsidRDefault="0032056F">
            <w:pPr>
              <w:keepNext/>
              <w:keepLines/>
              <w:spacing w:after="0" w:line="240" w:lineRule="auto"/>
              <w:jc w:val="right"/>
            </w:pPr>
            <w:r>
              <w:rPr>
                <w:sz w:val="18"/>
              </w:rPr>
              <w:t>204,3</w:t>
            </w:r>
          </w:p>
        </w:tc>
      </w:tr>
    </w:tbl>
    <w:p w14:paraId="0F0FC5B6" w14:textId="77777777" w:rsidR="00E21327" w:rsidRDefault="00E21327">
      <w:pPr>
        <w:spacing w:after="0"/>
      </w:pPr>
    </w:p>
    <w:p w14:paraId="6B209BE6" w14:textId="77777777" w:rsidR="00E21327" w:rsidRDefault="0032056F">
      <w:r>
        <w:t>Rashodi su povećani zbog realizacije ugovora na EU projektima u okviru operativnog programa Učinkoviti ljudski potencijali (ESF+).</w:t>
      </w:r>
    </w:p>
    <w:p w14:paraId="5D09BD04" w14:textId="77777777" w:rsidR="00E21327" w:rsidRDefault="00E21327"/>
    <w:p w14:paraId="59A52309" w14:textId="77777777" w:rsidR="00E21327" w:rsidRDefault="0032056F">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21327" w14:paraId="3AD210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3DEF48" w14:textId="77777777" w:rsidR="00E21327" w:rsidRDefault="003205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115CEB" w14:textId="77777777" w:rsidR="00E21327" w:rsidRDefault="003205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269351" w14:textId="77777777" w:rsidR="00E21327" w:rsidRDefault="003205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EE4C4A" w14:textId="77777777" w:rsidR="00E21327" w:rsidRDefault="0032056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F17FC2" w14:textId="77777777" w:rsidR="00E21327" w:rsidRDefault="0032056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BF1D41" w14:textId="77777777" w:rsidR="00E21327" w:rsidRDefault="0032056F">
            <w:pPr>
              <w:keepNext/>
              <w:keepLines/>
              <w:spacing w:after="0" w:line="240" w:lineRule="auto"/>
              <w:jc w:val="center"/>
            </w:pPr>
            <w:r>
              <w:rPr>
                <w:b/>
                <w:sz w:val="18"/>
              </w:rPr>
              <w:t>Indeks (%)</w:t>
            </w:r>
          </w:p>
        </w:tc>
      </w:tr>
      <w:tr w:rsidR="00E21327" w14:paraId="203A2D10" w14:textId="77777777">
        <w:tblPrEx>
          <w:tblCellMar>
            <w:top w:w="0" w:type="dxa"/>
            <w:bottom w:w="0" w:type="dxa"/>
          </w:tblCellMar>
        </w:tblPrEx>
        <w:trPr>
          <w:cantSplit/>
          <w:trHeight w:val="560"/>
        </w:trPr>
        <w:tc>
          <w:tcPr>
            <w:tcW w:w="700" w:type="dxa"/>
            <w:tcMar>
              <w:top w:w="0" w:type="dxa"/>
              <w:bottom w:w="0" w:type="dxa"/>
            </w:tcMar>
            <w:vAlign w:val="center"/>
          </w:tcPr>
          <w:p w14:paraId="27BE5023" w14:textId="77777777" w:rsidR="00E21327" w:rsidRDefault="0032056F">
            <w:pPr>
              <w:keepNext/>
              <w:keepLines/>
              <w:spacing w:after="0" w:line="240" w:lineRule="auto"/>
            </w:pPr>
            <w:r>
              <w:rPr>
                <w:sz w:val="18"/>
              </w:rPr>
              <w:t>4222</w:t>
            </w:r>
          </w:p>
        </w:tc>
        <w:tc>
          <w:tcPr>
            <w:tcW w:w="3180" w:type="dxa"/>
            <w:tcMar>
              <w:top w:w="0" w:type="dxa"/>
              <w:bottom w:w="0" w:type="dxa"/>
            </w:tcMar>
            <w:vAlign w:val="center"/>
          </w:tcPr>
          <w:p w14:paraId="4B1515E5" w14:textId="77777777" w:rsidR="00E21327" w:rsidRDefault="0032056F">
            <w:pPr>
              <w:keepNext/>
              <w:keepLines/>
              <w:spacing w:after="0" w:line="240" w:lineRule="auto"/>
            </w:pPr>
            <w:r>
              <w:rPr>
                <w:sz w:val="18"/>
              </w:rPr>
              <w:t>Komunikacijska oprema</w:t>
            </w:r>
          </w:p>
        </w:tc>
        <w:tc>
          <w:tcPr>
            <w:tcW w:w="700" w:type="dxa"/>
            <w:tcMar>
              <w:top w:w="0" w:type="dxa"/>
              <w:bottom w:w="0" w:type="dxa"/>
            </w:tcMar>
            <w:vAlign w:val="center"/>
          </w:tcPr>
          <w:p w14:paraId="02F5E177" w14:textId="77777777" w:rsidR="00E21327" w:rsidRDefault="0032056F">
            <w:pPr>
              <w:keepNext/>
              <w:keepLines/>
              <w:spacing w:after="0" w:line="240" w:lineRule="auto"/>
            </w:pPr>
            <w:r>
              <w:rPr>
                <w:sz w:val="18"/>
              </w:rPr>
              <w:t>4222</w:t>
            </w:r>
          </w:p>
        </w:tc>
        <w:tc>
          <w:tcPr>
            <w:tcW w:w="1860" w:type="dxa"/>
            <w:tcMar>
              <w:top w:w="0" w:type="dxa"/>
              <w:bottom w:w="0" w:type="dxa"/>
            </w:tcMar>
            <w:vAlign w:val="center"/>
          </w:tcPr>
          <w:p w14:paraId="2DD73B98" w14:textId="77777777" w:rsidR="00E21327" w:rsidRDefault="0032056F">
            <w:pPr>
              <w:keepNext/>
              <w:keepLines/>
              <w:spacing w:after="0" w:line="240" w:lineRule="auto"/>
              <w:jc w:val="right"/>
            </w:pPr>
            <w:r>
              <w:rPr>
                <w:sz w:val="18"/>
              </w:rPr>
              <w:t>12.034,09</w:t>
            </w:r>
          </w:p>
        </w:tc>
        <w:tc>
          <w:tcPr>
            <w:tcW w:w="1860" w:type="dxa"/>
            <w:tcMar>
              <w:top w:w="0" w:type="dxa"/>
              <w:bottom w:w="0" w:type="dxa"/>
            </w:tcMar>
            <w:vAlign w:val="center"/>
          </w:tcPr>
          <w:p w14:paraId="3515F3E3" w14:textId="77777777" w:rsidR="00E21327" w:rsidRDefault="0032056F">
            <w:pPr>
              <w:keepNext/>
              <w:keepLines/>
              <w:spacing w:after="0" w:line="240" w:lineRule="auto"/>
              <w:jc w:val="right"/>
            </w:pPr>
            <w:r>
              <w:rPr>
                <w:sz w:val="18"/>
              </w:rPr>
              <w:t>28.703,43</w:t>
            </w:r>
          </w:p>
        </w:tc>
        <w:tc>
          <w:tcPr>
            <w:tcW w:w="700" w:type="dxa"/>
            <w:tcMar>
              <w:top w:w="0" w:type="dxa"/>
              <w:bottom w:w="0" w:type="dxa"/>
            </w:tcMar>
            <w:vAlign w:val="center"/>
          </w:tcPr>
          <w:p w14:paraId="263A28C1" w14:textId="77777777" w:rsidR="00E21327" w:rsidRDefault="0032056F">
            <w:pPr>
              <w:keepNext/>
              <w:keepLines/>
              <w:spacing w:after="0" w:line="240" w:lineRule="auto"/>
              <w:jc w:val="right"/>
            </w:pPr>
            <w:r>
              <w:rPr>
                <w:sz w:val="18"/>
              </w:rPr>
              <w:t>238,5</w:t>
            </w:r>
          </w:p>
        </w:tc>
      </w:tr>
    </w:tbl>
    <w:p w14:paraId="72DF7415" w14:textId="77777777" w:rsidR="00E21327" w:rsidRDefault="00E21327">
      <w:pPr>
        <w:spacing w:after="0"/>
      </w:pPr>
    </w:p>
    <w:p w14:paraId="01754F74" w14:textId="77777777" w:rsidR="00E21327" w:rsidRDefault="0032056F">
      <w:r>
        <w:t>Rashodi su se povećali u odnosu na 2024. godinu zbog nabave tračnog uređaja za backup.</w:t>
      </w:r>
    </w:p>
    <w:p w14:paraId="0C75D881" w14:textId="77777777" w:rsidR="00E21327" w:rsidRDefault="00E21327"/>
    <w:p w14:paraId="1FFF8BA8" w14:textId="77777777" w:rsidR="00E21327" w:rsidRDefault="0032056F">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21327" w14:paraId="3753F9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9D7341" w14:textId="77777777" w:rsidR="00E21327" w:rsidRDefault="003205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5B3DD3" w14:textId="77777777" w:rsidR="00E21327" w:rsidRDefault="003205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5F8221" w14:textId="77777777" w:rsidR="00E21327" w:rsidRDefault="003205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103692" w14:textId="77777777" w:rsidR="00E21327" w:rsidRDefault="0032056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0A439A" w14:textId="77777777" w:rsidR="00E21327" w:rsidRDefault="0032056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D02623" w14:textId="77777777" w:rsidR="00E21327" w:rsidRDefault="0032056F">
            <w:pPr>
              <w:keepNext/>
              <w:keepLines/>
              <w:spacing w:after="0" w:line="240" w:lineRule="auto"/>
              <w:jc w:val="center"/>
            </w:pPr>
            <w:r>
              <w:rPr>
                <w:b/>
                <w:sz w:val="18"/>
              </w:rPr>
              <w:t>Indeks (%)</w:t>
            </w:r>
          </w:p>
        </w:tc>
      </w:tr>
      <w:tr w:rsidR="00E21327" w14:paraId="3B6485D2" w14:textId="77777777">
        <w:tblPrEx>
          <w:tblCellMar>
            <w:top w:w="0" w:type="dxa"/>
            <w:bottom w:w="0" w:type="dxa"/>
          </w:tblCellMar>
        </w:tblPrEx>
        <w:trPr>
          <w:cantSplit/>
          <w:trHeight w:val="560"/>
        </w:trPr>
        <w:tc>
          <w:tcPr>
            <w:tcW w:w="700" w:type="dxa"/>
            <w:tcMar>
              <w:top w:w="0" w:type="dxa"/>
              <w:bottom w:w="0" w:type="dxa"/>
            </w:tcMar>
            <w:vAlign w:val="center"/>
          </w:tcPr>
          <w:p w14:paraId="2B9AC669" w14:textId="77777777" w:rsidR="00E21327" w:rsidRDefault="00E21327">
            <w:pPr>
              <w:keepNext/>
              <w:keepLines/>
              <w:spacing w:after="0" w:line="240" w:lineRule="auto"/>
            </w:pPr>
          </w:p>
        </w:tc>
        <w:tc>
          <w:tcPr>
            <w:tcW w:w="3180" w:type="dxa"/>
            <w:tcMar>
              <w:top w:w="0" w:type="dxa"/>
              <w:bottom w:w="0" w:type="dxa"/>
            </w:tcMar>
            <w:vAlign w:val="center"/>
          </w:tcPr>
          <w:p w14:paraId="6BBA7898" w14:textId="77777777" w:rsidR="00E21327" w:rsidRDefault="0032056F">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6BB13FE0" w14:textId="77777777" w:rsidR="00E21327" w:rsidRDefault="0032056F">
            <w:pPr>
              <w:keepNext/>
              <w:keepLines/>
              <w:spacing w:after="0" w:line="240" w:lineRule="auto"/>
            </w:pPr>
            <w:r>
              <w:rPr>
                <w:sz w:val="18"/>
              </w:rPr>
              <w:t>X006</w:t>
            </w:r>
          </w:p>
        </w:tc>
        <w:tc>
          <w:tcPr>
            <w:tcW w:w="1860" w:type="dxa"/>
            <w:tcMar>
              <w:top w:w="0" w:type="dxa"/>
              <w:bottom w:w="0" w:type="dxa"/>
            </w:tcMar>
            <w:vAlign w:val="center"/>
          </w:tcPr>
          <w:p w14:paraId="09EC5A82" w14:textId="77777777" w:rsidR="00E21327" w:rsidRDefault="0032056F">
            <w:pPr>
              <w:keepNext/>
              <w:keepLines/>
              <w:spacing w:after="0" w:line="240" w:lineRule="auto"/>
              <w:jc w:val="right"/>
            </w:pPr>
            <w:r>
              <w:rPr>
                <w:sz w:val="18"/>
              </w:rPr>
              <w:t>42.841.701,37</w:t>
            </w:r>
          </w:p>
        </w:tc>
        <w:tc>
          <w:tcPr>
            <w:tcW w:w="1860" w:type="dxa"/>
            <w:tcMar>
              <w:top w:w="0" w:type="dxa"/>
              <w:bottom w:w="0" w:type="dxa"/>
            </w:tcMar>
            <w:vAlign w:val="center"/>
          </w:tcPr>
          <w:p w14:paraId="4B58D084" w14:textId="77777777" w:rsidR="00E21327" w:rsidRDefault="0032056F">
            <w:pPr>
              <w:keepNext/>
              <w:keepLines/>
              <w:spacing w:after="0" w:line="240" w:lineRule="auto"/>
              <w:jc w:val="right"/>
            </w:pPr>
            <w:r>
              <w:rPr>
                <w:sz w:val="18"/>
              </w:rPr>
              <w:t>31.869.275,98</w:t>
            </w:r>
          </w:p>
        </w:tc>
        <w:tc>
          <w:tcPr>
            <w:tcW w:w="700" w:type="dxa"/>
            <w:tcMar>
              <w:top w:w="0" w:type="dxa"/>
              <w:bottom w:w="0" w:type="dxa"/>
            </w:tcMar>
            <w:vAlign w:val="center"/>
          </w:tcPr>
          <w:p w14:paraId="29444700" w14:textId="77777777" w:rsidR="00E21327" w:rsidRDefault="0032056F">
            <w:pPr>
              <w:keepNext/>
              <w:keepLines/>
              <w:spacing w:after="0" w:line="240" w:lineRule="auto"/>
              <w:jc w:val="right"/>
            </w:pPr>
            <w:r>
              <w:rPr>
                <w:sz w:val="18"/>
              </w:rPr>
              <w:t>74,4</w:t>
            </w:r>
          </w:p>
        </w:tc>
      </w:tr>
    </w:tbl>
    <w:p w14:paraId="1A6E9352" w14:textId="77777777" w:rsidR="00E21327" w:rsidRDefault="00E21327">
      <w:pPr>
        <w:spacing w:after="0"/>
      </w:pPr>
    </w:p>
    <w:p w14:paraId="1F1675F3" w14:textId="77777777" w:rsidR="00E21327" w:rsidRDefault="0032056F">
      <w:r>
        <w:t xml:space="preserve">U odnosu na 2024. godinu značajnije smanjenje odnosi se na metodološki manjak iz 2025. godine temeljem izmjena i dopuna Pravilnika o izmjenama i dopunama Pravilnika o proračunskom računovodstvu i računskom planu prema kojem je ukinuta podskupina računa 193 – Kontinuirani rashodi budućih razdoblja. Iznos od 31.869.275.8 </w:t>
      </w:r>
      <w:proofErr w:type="spellStart"/>
      <w:r>
        <w:t>eur</w:t>
      </w:r>
      <w:proofErr w:type="spellEnd"/>
      <w:r>
        <w:t xml:space="preserve"> najvećim dijelom odnosi se na višak prihoda poslovanja raspoloživ u sljedećem razdoblju od igara na sreću (izvor financiranja 41) i od višak prihoda poslovanja raspoloživ u </w:t>
      </w:r>
      <w:proofErr w:type="spellStart"/>
      <w:r>
        <w:t>sljedćem</w:t>
      </w:r>
      <w:proofErr w:type="spellEnd"/>
      <w:r>
        <w:t xml:space="preserve"> razdoblju po posebnim propisima (izvor financiranja 43) koji ostvaruju ustanove socijalne skrbi.</w:t>
      </w:r>
    </w:p>
    <w:p w14:paraId="3BB7B7DB" w14:textId="77777777" w:rsidR="00E21327" w:rsidRDefault="00E21327"/>
    <w:p w14:paraId="12151877" w14:textId="77777777" w:rsidR="00E21327" w:rsidRDefault="0032056F">
      <w:pPr>
        <w:keepNext/>
        <w:spacing w:line="240" w:lineRule="auto"/>
        <w:jc w:val="center"/>
      </w:pPr>
      <w:r>
        <w:rPr>
          <w:b/>
          <w:sz w:val="28"/>
        </w:rPr>
        <w:t>Bilanca</w:t>
      </w:r>
    </w:p>
    <w:p w14:paraId="4E5840C8" w14:textId="77777777" w:rsidR="00E21327" w:rsidRDefault="0032056F">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21327" w14:paraId="25B504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BA114C" w14:textId="77777777" w:rsidR="00E21327" w:rsidRDefault="003205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3665E1" w14:textId="77777777" w:rsidR="00E21327" w:rsidRDefault="003205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EF3757" w14:textId="77777777" w:rsidR="00E21327" w:rsidRDefault="003205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2ACCD7" w14:textId="77777777" w:rsidR="00E21327" w:rsidRDefault="0032056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D010B7A" w14:textId="77777777" w:rsidR="00E21327" w:rsidRDefault="0032056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222A13" w14:textId="77777777" w:rsidR="00E21327" w:rsidRDefault="0032056F">
            <w:pPr>
              <w:keepNext/>
              <w:keepLines/>
              <w:spacing w:after="0" w:line="240" w:lineRule="auto"/>
              <w:jc w:val="center"/>
            </w:pPr>
            <w:r>
              <w:rPr>
                <w:b/>
                <w:sz w:val="18"/>
              </w:rPr>
              <w:t>Indeks (%)</w:t>
            </w:r>
          </w:p>
        </w:tc>
      </w:tr>
      <w:tr w:rsidR="00E21327" w14:paraId="130B6300" w14:textId="77777777">
        <w:tblPrEx>
          <w:tblCellMar>
            <w:top w:w="0" w:type="dxa"/>
            <w:bottom w:w="0" w:type="dxa"/>
          </w:tblCellMar>
        </w:tblPrEx>
        <w:trPr>
          <w:cantSplit/>
          <w:trHeight w:val="560"/>
        </w:trPr>
        <w:tc>
          <w:tcPr>
            <w:tcW w:w="700" w:type="dxa"/>
            <w:tcMar>
              <w:top w:w="0" w:type="dxa"/>
              <w:bottom w:w="0" w:type="dxa"/>
            </w:tcMar>
            <w:vAlign w:val="center"/>
          </w:tcPr>
          <w:p w14:paraId="2C73D3CC" w14:textId="77777777" w:rsidR="00E21327" w:rsidRDefault="0032056F">
            <w:pPr>
              <w:keepNext/>
              <w:keepLines/>
              <w:spacing w:after="0" w:line="240" w:lineRule="auto"/>
            </w:pPr>
            <w:r>
              <w:rPr>
                <w:sz w:val="18"/>
              </w:rPr>
              <w:t>996</w:t>
            </w:r>
          </w:p>
        </w:tc>
        <w:tc>
          <w:tcPr>
            <w:tcW w:w="3180" w:type="dxa"/>
            <w:tcMar>
              <w:top w:w="0" w:type="dxa"/>
              <w:bottom w:w="0" w:type="dxa"/>
            </w:tcMar>
            <w:vAlign w:val="center"/>
          </w:tcPr>
          <w:p w14:paraId="7291054F" w14:textId="77777777" w:rsidR="00E21327" w:rsidRDefault="0032056F">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40859D7D" w14:textId="77777777" w:rsidR="00E21327" w:rsidRDefault="0032056F">
            <w:pPr>
              <w:keepNext/>
              <w:keepLines/>
              <w:spacing w:after="0" w:line="240" w:lineRule="auto"/>
            </w:pPr>
            <w:r>
              <w:rPr>
                <w:sz w:val="18"/>
              </w:rPr>
              <w:t>996</w:t>
            </w:r>
          </w:p>
        </w:tc>
        <w:tc>
          <w:tcPr>
            <w:tcW w:w="1860" w:type="dxa"/>
            <w:tcMar>
              <w:top w:w="0" w:type="dxa"/>
              <w:bottom w:w="0" w:type="dxa"/>
            </w:tcMar>
            <w:vAlign w:val="center"/>
          </w:tcPr>
          <w:p w14:paraId="60F78C90" w14:textId="77777777" w:rsidR="00E21327" w:rsidRDefault="0032056F">
            <w:pPr>
              <w:keepNext/>
              <w:keepLines/>
              <w:spacing w:after="0" w:line="240" w:lineRule="auto"/>
              <w:jc w:val="right"/>
            </w:pPr>
            <w:r>
              <w:rPr>
                <w:sz w:val="18"/>
              </w:rPr>
              <w:t>71.592.801,58</w:t>
            </w:r>
          </w:p>
        </w:tc>
        <w:tc>
          <w:tcPr>
            <w:tcW w:w="1860" w:type="dxa"/>
            <w:tcMar>
              <w:top w:w="0" w:type="dxa"/>
              <w:bottom w:w="0" w:type="dxa"/>
            </w:tcMar>
            <w:vAlign w:val="center"/>
          </w:tcPr>
          <w:p w14:paraId="13D86D72" w14:textId="77777777" w:rsidR="00E21327" w:rsidRDefault="0032056F">
            <w:pPr>
              <w:keepNext/>
              <w:keepLines/>
              <w:spacing w:after="0" w:line="240" w:lineRule="auto"/>
              <w:jc w:val="right"/>
            </w:pPr>
            <w:r>
              <w:rPr>
                <w:sz w:val="18"/>
              </w:rPr>
              <w:t>434.552.843,05</w:t>
            </w:r>
          </w:p>
        </w:tc>
        <w:tc>
          <w:tcPr>
            <w:tcW w:w="700" w:type="dxa"/>
            <w:tcMar>
              <w:top w:w="0" w:type="dxa"/>
              <w:bottom w:w="0" w:type="dxa"/>
            </w:tcMar>
            <w:vAlign w:val="center"/>
          </w:tcPr>
          <w:p w14:paraId="70EB6EED" w14:textId="77777777" w:rsidR="00E21327" w:rsidRDefault="0032056F">
            <w:pPr>
              <w:keepNext/>
              <w:keepLines/>
              <w:spacing w:after="0" w:line="240" w:lineRule="auto"/>
              <w:jc w:val="right"/>
            </w:pPr>
            <w:r>
              <w:rPr>
                <w:sz w:val="18"/>
              </w:rPr>
              <w:t>607,0</w:t>
            </w:r>
          </w:p>
        </w:tc>
      </w:tr>
    </w:tbl>
    <w:p w14:paraId="36E1B5DE" w14:textId="77777777" w:rsidR="00E21327" w:rsidRDefault="00E21327">
      <w:pPr>
        <w:spacing w:after="0"/>
      </w:pPr>
    </w:p>
    <w:p w14:paraId="0C0AC857" w14:textId="77777777" w:rsidR="00E21327" w:rsidRDefault="0032056F">
      <w:r>
        <w:t>Značajno povećanje na podskupini 991/996 odnosi se na evidentiranje preuzetih obveze po ugovorima o nabavi roba, radova i usluga te evidentiranje ugovora po EU projektima sukladno izmjenama i dopunama Pravilnika o proračunskom računovodstvu i računskom planu.</w:t>
      </w:r>
      <w:r>
        <w:br/>
      </w:r>
    </w:p>
    <w:p w14:paraId="14B4580C" w14:textId="77777777" w:rsidR="00E21327" w:rsidRDefault="00E21327"/>
    <w:p w14:paraId="65A27ECD" w14:textId="77777777" w:rsidR="00E21327" w:rsidRDefault="0032056F">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21327" w14:paraId="48F0DD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E77263" w14:textId="77777777" w:rsidR="00E21327" w:rsidRDefault="003205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1C19BB" w14:textId="77777777" w:rsidR="00E21327" w:rsidRDefault="003205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13E5A3" w14:textId="77777777" w:rsidR="00E21327" w:rsidRDefault="003205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5D7BB9" w14:textId="77777777" w:rsidR="00E21327" w:rsidRDefault="0032056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605C6B" w14:textId="77777777" w:rsidR="00E21327" w:rsidRDefault="0032056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C66A83" w14:textId="77777777" w:rsidR="00E21327" w:rsidRDefault="0032056F">
            <w:pPr>
              <w:keepNext/>
              <w:keepLines/>
              <w:spacing w:after="0" w:line="240" w:lineRule="auto"/>
              <w:jc w:val="center"/>
            </w:pPr>
            <w:r>
              <w:rPr>
                <w:b/>
                <w:sz w:val="18"/>
              </w:rPr>
              <w:t>Indeks (%)</w:t>
            </w:r>
          </w:p>
        </w:tc>
      </w:tr>
      <w:tr w:rsidR="00E21327" w14:paraId="53AB7C49" w14:textId="77777777">
        <w:tblPrEx>
          <w:tblCellMar>
            <w:top w:w="0" w:type="dxa"/>
            <w:bottom w:w="0" w:type="dxa"/>
          </w:tblCellMar>
        </w:tblPrEx>
        <w:trPr>
          <w:cantSplit/>
          <w:trHeight w:val="560"/>
        </w:trPr>
        <w:tc>
          <w:tcPr>
            <w:tcW w:w="700" w:type="dxa"/>
            <w:tcMar>
              <w:top w:w="0" w:type="dxa"/>
              <w:bottom w:w="0" w:type="dxa"/>
            </w:tcMar>
            <w:vAlign w:val="center"/>
          </w:tcPr>
          <w:p w14:paraId="5B7A2D35" w14:textId="77777777" w:rsidR="00E21327" w:rsidRDefault="0032056F">
            <w:pPr>
              <w:keepNext/>
              <w:keepLines/>
              <w:spacing w:after="0" w:line="240" w:lineRule="auto"/>
            </w:pPr>
            <w:r>
              <w:rPr>
                <w:sz w:val="18"/>
              </w:rPr>
              <w:t>12951</w:t>
            </w:r>
          </w:p>
        </w:tc>
        <w:tc>
          <w:tcPr>
            <w:tcW w:w="3180" w:type="dxa"/>
            <w:tcMar>
              <w:top w:w="0" w:type="dxa"/>
              <w:bottom w:w="0" w:type="dxa"/>
            </w:tcMar>
            <w:vAlign w:val="center"/>
          </w:tcPr>
          <w:p w14:paraId="79253061" w14:textId="77777777" w:rsidR="00E21327" w:rsidRDefault="0032056F">
            <w:pPr>
              <w:keepNext/>
              <w:keepLines/>
              <w:spacing w:after="0" w:line="240" w:lineRule="auto"/>
            </w:pPr>
            <w:r>
              <w:rPr>
                <w:sz w:val="18"/>
              </w:rPr>
              <w:t>Potraživanja za EU predujmove dane iz državnog proračuna</w:t>
            </w:r>
          </w:p>
        </w:tc>
        <w:tc>
          <w:tcPr>
            <w:tcW w:w="700" w:type="dxa"/>
            <w:tcMar>
              <w:top w:w="0" w:type="dxa"/>
              <w:bottom w:w="0" w:type="dxa"/>
            </w:tcMar>
            <w:vAlign w:val="center"/>
          </w:tcPr>
          <w:p w14:paraId="22BDE92F" w14:textId="77777777" w:rsidR="00E21327" w:rsidRDefault="0032056F">
            <w:pPr>
              <w:keepNext/>
              <w:keepLines/>
              <w:spacing w:after="0" w:line="240" w:lineRule="auto"/>
            </w:pPr>
            <w:r>
              <w:rPr>
                <w:sz w:val="18"/>
              </w:rPr>
              <w:t>12951</w:t>
            </w:r>
          </w:p>
        </w:tc>
        <w:tc>
          <w:tcPr>
            <w:tcW w:w="1860" w:type="dxa"/>
            <w:tcMar>
              <w:top w:w="0" w:type="dxa"/>
              <w:bottom w:w="0" w:type="dxa"/>
            </w:tcMar>
            <w:vAlign w:val="center"/>
          </w:tcPr>
          <w:p w14:paraId="6AA771EF" w14:textId="77777777" w:rsidR="00E21327" w:rsidRDefault="0032056F">
            <w:pPr>
              <w:keepNext/>
              <w:keepLines/>
              <w:spacing w:after="0" w:line="240" w:lineRule="auto"/>
              <w:jc w:val="right"/>
            </w:pPr>
            <w:r>
              <w:rPr>
                <w:sz w:val="18"/>
              </w:rPr>
              <w:t>0,00</w:t>
            </w:r>
          </w:p>
        </w:tc>
        <w:tc>
          <w:tcPr>
            <w:tcW w:w="1860" w:type="dxa"/>
            <w:tcMar>
              <w:top w:w="0" w:type="dxa"/>
              <w:bottom w:w="0" w:type="dxa"/>
            </w:tcMar>
            <w:vAlign w:val="center"/>
          </w:tcPr>
          <w:p w14:paraId="34CAD111" w14:textId="77777777" w:rsidR="00E21327" w:rsidRDefault="0032056F">
            <w:pPr>
              <w:keepNext/>
              <w:keepLines/>
              <w:spacing w:after="0" w:line="240" w:lineRule="auto"/>
              <w:jc w:val="right"/>
            </w:pPr>
            <w:r>
              <w:rPr>
                <w:sz w:val="18"/>
              </w:rPr>
              <w:t>256.012,38</w:t>
            </w:r>
          </w:p>
        </w:tc>
        <w:tc>
          <w:tcPr>
            <w:tcW w:w="700" w:type="dxa"/>
            <w:tcMar>
              <w:top w:w="0" w:type="dxa"/>
              <w:bottom w:w="0" w:type="dxa"/>
            </w:tcMar>
            <w:vAlign w:val="center"/>
          </w:tcPr>
          <w:p w14:paraId="63C33A96" w14:textId="77777777" w:rsidR="00E21327" w:rsidRDefault="0032056F">
            <w:pPr>
              <w:keepNext/>
              <w:keepLines/>
              <w:spacing w:after="0" w:line="240" w:lineRule="auto"/>
              <w:jc w:val="right"/>
            </w:pPr>
            <w:r>
              <w:rPr>
                <w:sz w:val="18"/>
              </w:rPr>
              <w:t>-</w:t>
            </w:r>
          </w:p>
        </w:tc>
      </w:tr>
    </w:tbl>
    <w:p w14:paraId="74CBD6A8" w14:textId="77777777" w:rsidR="00E21327" w:rsidRDefault="00E21327">
      <w:pPr>
        <w:spacing w:after="0"/>
      </w:pPr>
    </w:p>
    <w:p w14:paraId="4AF6D893" w14:textId="77777777" w:rsidR="00E21327" w:rsidRDefault="0032056F">
      <w:r>
        <w:t>Razlika u odnosu na 2024. godinu nastala zbog novog načina evidentiranja knjigovodstvenih evidencija po EU projektima u skladu s izmjenama i dopunama Pravilnika o proračunskom računovodstvu i računskom planu.</w:t>
      </w:r>
    </w:p>
    <w:p w14:paraId="7ADF6ED1" w14:textId="77777777" w:rsidR="00E21327" w:rsidRDefault="00E21327"/>
    <w:p w14:paraId="68AB4BF3" w14:textId="77777777" w:rsidR="00E21327" w:rsidRDefault="0032056F">
      <w:pPr>
        <w:keepNext/>
        <w:spacing w:line="240" w:lineRule="auto"/>
        <w:jc w:val="center"/>
      </w:pPr>
      <w:r>
        <w:rPr>
          <w:b/>
          <w:sz w:val="28"/>
        </w:rPr>
        <w:t>Promjene u vrijednosti i obujmu imovine i obveza</w:t>
      </w:r>
    </w:p>
    <w:p w14:paraId="0E8D8538" w14:textId="77777777" w:rsidR="00E21327" w:rsidRDefault="0032056F">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21327" w14:paraId="49BEDA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3C63F2" w14:textId="77777777" w:rsidR="00E21327" w:rsidRDefault="003205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D33A5E" w14:textId="77777777" w:rsidR="00E21327" w:rsidRDefault="003205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7300DE" w14:textId="77777777" w:rsidR="00E21327" w:rsidRDefault="003205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F4FA85" w14:textId="77777777" w:rsidR="00E21327" w:rsidRDefault="0032056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A3BB128" w14:textId="77777777" w:rsidR="00E21327" w:rsidRDefault="0032056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F083AA7" w14:textId="77777777" w:rsidR="00E21327" w:rsidRDefault="0032056F">
            <w:pPr>
              <w:keepNext/>
              <w:keepLines/>
              <w:spacing w:after="0" w:line="240" w:lineRule="auto"/>
              <w:jc w:val="center"/>
            </w:pPr>
            <w:r>
              <w:rPr>
                <w:b/>
                <w:sz w:val="18"/>
              </w:rPr>
              <w:t>Indeks (%)</w:t>
            </w:r>
          </w:p>
        </w:tc>
      </w:tr>
      <w:tr w:rsidR="00E21327" w14:paraId="47C85BC1" w14:textId="77777777">
        <w:tblPrEx>
          <w:tblCellMar>
            <w:top w:w="0" w:type="dxa"/>
            <w:bottom w:w="0" w:type="dxa"/>
          </w:tblCellMar>
        </w:tblPrEx>
        <w:trPr>
          <w:cantSplit/>
          <w:trHeight w:val="560"/>
        </w:trPr>
        <w:tc>
          <w:tcPr>
            <w:tcW w:w="700" w:type="dxa"/>
            <w:tcMar>
              <w:top w:w="0" w:type="dxa"/>
              <w:bottom w:w="0" w:type="dxa"/>
            </w:tcMar>
            <w:vAlign w:val="center"/>
          </w:tcPr>
          <w:p w14:paraId="39CF806A" w14:textId="77777777" w:rsidR="00E21327" w:rsidRDefault="00E21327">
            <w:pPr>
              <w:keepNext/>
              <w:keepLines/>
              <w:spacing w:after="0" w:line="240" w:lineRule="auto"/>
            </w:pPr>
          </w:p>
        </w:tc>
        <w:tc>
          <w:tcPr>
            <w:tcW w:w="3180" w:type="dxa"/>
            <w:tcMar>
              <w:top w:w="0" w:type="dxa"/>
              <w:bottom w:w="0" w:type="dxa"/>
            </w:tcMar>
            <w:vAlign w:val="center"/>
          </w:tcPr>
          <w:p w14:paraId="687E280A" w14:textId="77777777" w:rsidR="00E21327" w:rsidRDefault="0032056F">
            <w:pPr>
              <w:keepNext/>
              <w:keepLines/>
              <w:spacing w:after="0" w:line="240" w:lineRule="auto"/>
            </w:pPr>
            <w:r>
              <w:rPr>
                <w:sz w:val="18"/>
              </w:rPr>
              <w:t>Promjene u vrijednosti nefinancijske imovine (šifre P002 do P007)</w:t>
            </w:r>
          </w:p>
        </w:tc>
        <w:tc>
          <w:tcPr>
            <w:tcW w:w="700" w:type="dxa"/>
            <w:tcMar>
              <w:top w:w="0" w:type="dxa"/>
              <w:bottom w:w="0" w:type="dxa"/>
            </w:tcMar>
            <w:vAlign w:val="center"/>
          </w:tcPr>
          <w:p w14:paraId="4AD2F70D" w14:textId="77777777" w:rsidR="00E21327" w:rsidRDefault="0032056F">
            <w:pPr>
              <w:keepNext/>
              <w:keepLines/>
              <w:spacing w:after="0" w:line="240" w:lineRule="auto"/>
            </w:pPr>
            <w:r>
              <w:rPr>
                <w:sz w:val="18"/>
              </w:rPr>
              <w:t>P001</w:t>
            </w:r>
          </w:p>
        </w:tc>
        <w:tc>
          <w:tcPr>
            <w:tcW w:w="1860" w:type="dxa"/>
            <w:tcMar>
              <w:top w:w="0" w:type="dxa"/>
              <w:bottom w:w="0" w:type="dxa"/>
            </w:tcMar>
            <w:vAlign w:val="center"/>
          </w:tcPr>
          <w:p w14:paraId="1A5C8B63" w14:textId="77777777" w:rsidR="00E21327" w:rsidRDefault="0032056F">
            <w:pPr>
              <w:keepNext/>
              <w:keepLines/>
              <w:spacing w:after="0" w:line="240" w:lineRule="auto"/>
              <w:jc w:val="right"/>
            </w:pPr>
            <w:r>
              <w:rPr>
                <w:sz w:val="18"/>
              </w:rPr>
              <w:t>0,00</w:t>
            </w:r>
          </w:p>
        </w:tc>
        <w:tc>
          <w:tcPr>
            <w:tcW w:w="1860" w:type="dxa"/>
            <w:tcMar>
              <w:top w:w="0" w:type="dxa"/>
              <w:bottom w:w="0" w:type="dxa"/>
            </w:tcMar>
            <w:vAlign w:val="center"/>
          </w:tcPr>
          <w:p w14:paraId="6B5C0A63" w14:textId="77777777" w:rsidR="00E21327" w:rsidRDefault="0032056F">
            <w:pPr>
              <w:keepNext/>
              <w:keepLines/>
              <w:spacing w:after="0" w:line="240" w:lineRule="auto"/>
              <w:jc w:val="right"/>
            </w:pPr>
            <w:r>
              <w:rPr>
                <w:sz w:val="18"/>
              </w:rPr>
              <w:t>1.232.480,43</w:t>
            </w:r>
          </w:p>
        </w:tc>
        <w:tc>
          <w:tcPr>
            <w:tcW w:w="700" w:type="dxa"/>
            <w:tcMar>
              <w:top w:w="0" w:type="dxa"/>
              <w:bottom w:w="0" w:type="dxa"/>
            </w:tcMar>
            <w:vAlign w:val="center"/>
          </w:tcPr>
          <w:p w14:paraId="4507655C" w14:textId="77777777" w:rsidR="00E21327" w:rsidRDefault="0032056F">
            <w:pPr>
              <w:keepNext/>
              <w:keepLines/>
              <w:spacing w:after="0" w:line="240" w:lineRule="auto"/>
              <w:jc w:val="right"/>
            </w:pPr>
            <w:r>
              <w:rPr>
                <w:sz w:val="18"/>
              </w:rPr>
              <w:t>-</w:t>
            </w:r>
          </w:p>
        </w:tc>
      </w:tr>
    </w:tbl>
    <w:p w14:paraId="6C74D314" w14:textId="77777777" w:rsidR="00E21327" w:rsidRDefault="00E21327">
      <w:pPr>
        <w:spacing w:after="0"/>
      </w:pPr>
    </w:p>
    <w:p w14:paraId="58D2898B" w14:textId="77777777" w:rsidR="00E21327" w:rsidRDefault="0032056F">
      <w:r>
        <w:t>Ministarstvo je tijekom 2025. godine imalo smanjenje imovine preko računa 915. Iskazano smanjenje na računu 91511 – Promjena u vrijednosti imovine najvećim dijelom odnosi se na provedeni ispravak vrijednosti dugotrajne imovine sa datumom 31.12.2025. godine u iznosu od 1.229.206,90 eura. </w:t>
      </w:r>
    </w:p>
    <w:p w14:paraId="1FF38D43" w14:textId="77777777" w:rsidR="00E21327" w:rsidRDefault="00E21327"/>
    <w:p w14:paraId="5D7F0F2A" w14:textId="77777777" w:rsidR="00E21327" w:rsidRDefault="0032056F">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21327" w14:paraId="6D2D22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75B790" w14:textId="77777777" w:rsidR="00E21327" w:rsidRDefault="003205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101270" w14:textId="77777777" w:rsidR="00E21327" w:rsidRDefault="003205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A027BB" w14:textId="77777777" w:rsidR="00E21327" w:rsidRDefault="003205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2110FE" w14:textId="77777777" w:rsidR="00E21327" w:rsidRDefault="0032056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295B4DE" w14:textId="77777777" w:rsidR="00E21327" w:rsidRDefault="0032056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4488544" w14:textId="77777777" w:rsidR="00E21327" w:rsidRDefault="0032056F">
            <w:pPr>
              <w:keepNext/>
              <w:keepLines/>
              <w:spacing w:after="0" w:line="240" w:lineRule="auto"/>
              <w:jc w:val="center"/>
            </w:pPr>
            <w:r>
              <w:rPr>
                <w:b/>
                <w:sz w:val="18"/>
              </w:rPr>
              <w:t>Indeks (%)</w:t>
            </w:r>
          </w:p>
        </w:tc>
      </w:tr>
      <w:tr w:rsidR="00E21327" w14:paraId="6E5A30F0" w14:textId="77777777">
        <w:tblPrEx>
          <w:tblCellMar>
            <w:top w:w="0" w:type="dxa"/>
            <w:bottom w:w="0" w:type="dxa"/>
          </w:tblCellMar>
        </w:tblPrEx>
        <w:trPr>
          <w:cantSplit/>
          <w:trHeight w:val="560"/>
        </w:trPr>
        <w:tc>
          <w:tcPr>
            <w:tcW w:w="700" w:type="dxa"/>
            <w:tcMar>
              <w:top w:w="0" w:type="dxa"/>
              <w:bottom w:w="0" w:type="dxa"/>
            </w:tcMar>
            <w:vAlign w:val="center"/>
          </w:tcPr>
          <w:p w14:paraId="778997F8" w14:textId="77777777" w:rsidR="00E21327" w:rsidRDefault="0032056F">
            <w:pPr>
              <w:keepNext/>
              <w:keepLines/>
              <w:spacing w:after="0" w:line="240" w:lineRule="auto"/>
            </w:pPr>
            <w:r>
              <w:rPr>
                <w:sz w:val="18"/>
              </w:rPr>
              <w:t>91512</w:t>
            </w:r>
          </w:p>
        </w:tc>
        <w:tc>
          <w:tcPr>
            <w:tcW w:w="3180" w:type="dxa"/>
            <w:tcMar>
              <w:top w:w="0" w:type="dxa"/>
              <w:bottom w:w="0" w:type="dxa"/>
            </w:tcMar>
            <w:vAlign w:val="center"/>
          </w:tcPr>
          <w:p w14:paraId="749807B1" w14:textId="77777777" w:rsidR="00E21327" w:rsidRDefault="0032056F">
            <w:pPr>
              <w:keepNext/>
              <w:keepLines/>
              <w:spacing w:after="0" w:line="240" w:lineRule="auto"/>
            </w:pPr>
            <w:r>
              <w:rPr>
                <w:sz w:val="18"/>
              </w:rPr>
              <w:t>Promjene u obujmu imovine (šifre P016+P023)</w:t>
            </w:r>
          </w:p>
        </w:tc>
        <w:tc>
          <w:tcPr>
            <w:tcW w:w="700" w:type="dxa"/>
            <w:tcMar>
              <w:top w:w="0" w:type="dxa"/>
              <w:bottom w:w="0" w:type="dxa"/>
            </w:tcMar>
            <w:vAlign w:val="center"/>
          </w:tcPr>
          <w:p w14:paraId="076C0239" w14:textId="77777777" w:rsidR="00E21327" w:rsidRDefault="0032056F">
            <w:pPr>
              <w:keepNext/>
              <w:keepLines/>
              <w:spacing w:after="0" w:line="240" w:lineRule="auto"/>
            </w:pPr>
            <w:r>
              <w:rPr>
                <w:sz w:val="18"/>
              </w:rPr>
              <w:t>91512</w:t>
            </w:r>
          </w:p>
        </w:tc>
        <w:tc>
          <w:tcPr>
            <w:tcW w:w="1860" w:type="dxa"/>
            <w:tcMar>
              <w:top w:w="0" w:type="dxa"/>
              <w:bottom w:w="0" w:type="dxa"/>
            </w:tcMar>
            <w:vAlign w:val="center"/>
          </w:tcPr>
          <w:p w14:paraId="559DEDFE" w14:textId="77777777" w:rsidR="00E21327" w:rsidRDefault="0032056F">
            <w:pPr>
              <w:keepNext/>
              <w:keepLines/>
              <w:spacing w:after="0" w:line="240" w:lineRule="auto"/>
              <w:jc w:val="right"/>
            </w:pPr>
            <w:r>
              <w:rPr>
                <w:sz w:val="18"/>
              </w:rPr>
              <w:t>0,00</w:t>
            </w:r>
          </w:p>
        </w:tc>
        <w:tc>
          <w:tcPr>
            <w:tcW w:w="1860" w:type="dxa"/>
            <w:tcMar>
              <w:top w:w="0" w:type="dxa"/>
              <w:bottom w:w="0" w:type="dxa"/>
            </w:tcMar>
            <w:vAlign w:val="center"/>
          </w:tcPr>
          <w:p w14:paraId="26C00656" w14:textId="77777777" w:rsidR="00E21327" w:rsidRDefault="0032056F">
            <w:pPr>
              <w:keepNext/>
              <w:keepLines/>
              <w:spacing w:after="0" w:line="240" w:lineRule="auto"/>
              <w:jc w:val="right"/>
            </w:pPr>
            <w:r>
              <w:rPr>
                <w:sz w:val="18"/>
              </w:rPr>
              <w:t>28.278,92</w:t>
            </w:r>
          </w:p>
        </w:tc>
        <w:tc>
          <w:tcPr>
            <w:tcW w:w="700" w:type="dxa"/>
            <w:tcMar>
              <w:top w:w="0" w:type="dxa"/>
              <w:bottom w:w="0" w:type="dxa"/>
            </w:tcMar>
            <w:vAlign w:val="center"/>
          </w:tcPr>
          <w:p w14:paraId="2FBFDBA6" w14:textId="77777777" w:rsidR="00E21327" w:rsidRDefault="0032056F">
            <w:pPr>
              <w:keepNext/>
              <w:keepLines/>
              <w:spacing w:after="0" w:line="240" w:lineRule="auto"/>
              <w:jc w:val="right"/>
            </w:pPr>
            <w:r>
              <w:rPr>
                <w:sz w:val="18"/>
              </w:rPr>
              <w:t>-</w:t>
            </w:r>
          </w:p>
        </w:tc>
      </w:tr>
    </w:tbl>
    <w:p w14:paraId="15146BE3" w14:textId="77777777" w:rsidR="00E21327" w:rsidRDefault="00E21327">
      <w:pPr>
        <w:spacing w:after="0"/>
      </w:pPr>
    </w:p>
    <w:p w14:paraId="4B7BB151" w14:textId="77777777" w:rsidR="00E21327" w:rsidRDefault="0032056F">
      <w:r>
        <w:t xml:space="preserve">Smanjenje obujma proizvedene dugotrajne imovine odnosi se na </w:t>
      </w:r>
      <w:proofErr w:type="spellStart"/>
      <w:r>
        <w:t>isknjiženje</w:t>
      </w:r>
      <w:proofErr w:type="spellEnd"/>
      <w:r>
        <w:t xml:space="preserve"> dugotrajne imovine iz poslovnih knjiga Ministarstva, a najvećim dio u iznosu od 26.284,15 </w:t>
      </w:r>
      <w:proofErr w:type="spellStart"/>
      <w:r>
        <w:t>eur</w:t>
      </w:r>
      <w:proofErr w:type="spellEnd"/>
      <w:r>
        <w:t xml:space="preserve"> odnosi se na Sporazum o prijenosu nefinancijske imovine Centru za odgoj i </w:t>
      </w:r>
      <w:proofErr w:type="spellStart"/>
      <w:r>
        <w:t>brazovanje</w:t>
      </w:r>
      <w:proofErr w:type="spellEnd"/>
      <w:r>
        <w:t xml:space="preserve"> Dubrava. Sporazumom je Ministarstvo odobrilo ustupanje računalne opreme (25 računala) za provođenje modularne nastave.</w:t>
      </w:r>
    </w:p>
    <w:p w14:paraId="634E3FB3" w14:textId="77777777" w:rsidR="00E21327" w:rsidRDefault="00E21327"/>
    <w:p w14:paraId="4BEE969C" w14:textId="77777777" w:rsidR="00E21327" w:rsidRDefault="0032056F">
      <w:pPr>
        <w:keepNext/>
        <w:spacing w:line="240" w:lineRule="auto"/>
        <w:jc w:val="center"/>
      </w:pPr>
      <w:r>
        <w:rPr>
          <w:b/>
          <w:sz w:val="28"/>
        </w:rPr>
        <w:lastRenderedPageBreak/>
        <w:t>Izvještaj o obvezama</w:t>
      </w:r>
    </w:p>
    <w:p w14:paraId="1B14BDAF" w14:textId="77777777" w:rsidR="00E21327" w:rsidRDefault="0032056F">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E21327" w14:paraId="136A47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BDA258" w14:textId="77777777" w:rsidR="00E21327" w:rsidRDefault="0032056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09AD2F" w14:textId="77777777" w:rsidR="00E21327" w:rsidRDefault="0032056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45CC27" w14:textId="77777777" w:rsidR="00E21327" w:rsidRDefault="0032056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B5B31B" w14:textId="77777777" w:rsidR="00E21327" w:rsidRDefault="0032056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6A502D3" w14:textId="77777777" w:rsidR="00E21327" w:rsidRDefault="0032056F">
            <w:pPr>
              <w:keepNext/>
              <w:keepLines/>
              <w:spacing w:after="0" w:line="240" w:lineRule="auto"/>
              <w:jc w:val="center"/>
            </w:pPr>
            <w:r>
              <w:rPr>
                <w:b/>
                <w:sz w:val="18"/>
              </w:rPr>
              <w:t>Indeks (%)</w:t>
            </w:r>
          </w:p>
        </w:tc>
      </w:tr>
      <w:tr w:rsidR="00E21327" w14:paraId="7A463C82" w14:textId="77777777">
        <w:tblPrEx>
          <w:tblCellMar>
            <w:top w:w="0" w:type="dxa"/>
            <w:bottom w:w="0" w:type="dxa"/>
          </w:tblCellMar>
        </w:tblPrEx>
        <w:trPr>
          <w:cantSplit/>
          <w:trHeight w:val="560"/>
        </w:trPr>
        <w:tc>
          <w:tcPr>
            <w:tcW w:w="700" w:type="dxa"/>
            <w:tcMar>
              <w:top w:w="0" w:type="dxa"/>
              <w:bottom w:w="0" w:type="dxa"/>
            </w:tcMar>
            <w:vAlign w:val="center"/>
          </w:tcPr>
          <w:p w14:paraId="6F5038B7" w14:textId="77777777" w:rsidR="00E21327" w:rsidRDefault="00E21327">
            <w:pPr>
              <w:keepNext/>
              <w:keepLines/>
              <w:spacing w:after="0" w:line="240" w:lineRule="auto"/>
            </w:pPr>
          </w:p>
        </w:tc>
        <w:tc>
          <w:tcPr>
            <w:tcW w:w="3180" w:type="dxa"/>
            <w:tcMar>
              <w:top w:w="0" w:type="dxa"/>
              <w:bottom w:w="0" w:type="dxa"/>
            </w:tcMar>
            <w:vAlign w:val="center"/>
          </w:tcPr>
          <w:p w14:paraId="739CB0C0" w14:textId="77777777" w:rsidR="00E21327" w:rsidRDefault="0032056F">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D35A1B8" w14:textId="77777777" w:rsidR="00E21327" w:rsidRDefault="0032056F">
            <w:pPr>
              <w:keepNext/>
              <w:keepLines/>
              <w:spacing w:after="0" w:line="240" w:lineRule="auto"/>
            </w:pPr>
            <w:r>
              <w:rPr>
                <w:sz w:val="18"/>
              </w:rPr>
              <w:t>V007</w:t>
            </w:r>
          </w:p>
        </w:tc>
        <w:tc>
          <w:tcPr>
            <w:tcW w:w="1860" w:type="dxa"/>
            <w:tcMar>
              <w:top w:w="0" w:type="dxa"/>
              <w:bottom w:w="0" w:type="dxa"/>
            </w:tcMar>
            <w:vAlign w:val="center"/>
          </w:tcPr>
          <w:p w14:paraId="6D8A064E" w14:textId="77777777" w:rsidR="00E21327" w:rsidRDefault="0032056F">
            <w:pPr>
              <w:keepNext/>
              <w:keepLines/>
              <w:spacing w:after="0" w:line="240" w:lineRule="auto"/>
              <w:jc w:val="right"/>
            </w:pPr>
            <w:r>
              <w:rPr>
                <w:sz w:val="18"/>
              </w:rPr>
              <w:t>1.957.402,81</w:t>
            </w:r>
          </w:p>
        </w:tc>
        <w:tc>
          <w:tcPr>
            <w:tcW w:w="700" w:type="dxa"/>
            <w:tcMar>
              <w:top w:w="0" w:type="dxa"/>
              <w:bottom w:w="0" w:type="dxa"/>
            </w:tcMar>
            <w:vAlign w:val="center"/>
          </w:tcPr>
          <w:p w14:paraId="6320BED7" w14:textId="77777777" w:rsidR="00E21327" w:rsidRDefault="0032056F">
            <w:pPr>
              <w:keepNext/>
              <w:keepLines/>
              <w:spacing w:after="0" w:line="240" w:lineRule="auto"/>
              <w:jc w:val="right"/>
            </w:pPr>
            <w:r>
              <w:rPr>
                <w:sz w:val="18"/>
              </w:rPr>
              <w:t>-</w:t>
            </w:r>
          </w:p>
        </w:tc>
      </w:tr>
    </w:tbl>
    <w:p w14:paraId="738C3179" w14:textId="77777777" w:rsidR="00E21327" w:rsidRDefault="00E21327">
      <w:pPr>
        <w:spacing w:after="0"/>
      </w:pPr>
    </w:p>
    <w:p w14:paraId="6452DEAC" w14:textId="77777777" w:rsidR="00E21327" w:rsidRDefault="0032056F">
      <w:r>
        <w:t xml:space="preserve">Dospjele obveze odnose se na nepodmirene račune  za  mjesec studeni za usluge smještaja i pomoći u kući kod drugih pružatelja socijalnih </w:t>
      </w:r>
      <w:proofErr w:type="spellStart"/>
      <w:r>
        <w:t>uluga</w:t>
      </w:r>
      <w:proofErr w:type="spellEnd"/>
      <w:r>
        <w:t>. Računi nisu bili podmireni na vrijeme zbog nedostatnih sredstava na aktivnosti A734191 - Skrb za djecu, mladež i odrasle osobe - drugi osnivači. OSNIVAČI</w:t>
      </w:r>
    </w:p>
    <w:p w14:paraId="5A356617" w14:textId="77777777" w:rsidR="00E21327" w:rsidRDefault="00E21327"/>
    <w:p w14:paraId="4D9A78FD" w14:textId="77777777" w:rsidR="00E21327" w:rsidRDefault="0032056F">
      <w:pPr>
        <w:keepNext/>
        <w:spacing w:line="240" w:lineRule="auto"/>
        <w:jc w:val="center"/>
      </w:pPr>
      <w:r>
        <w:rPr>
          <w:sz w:val="28"/>
        </w:rPr>
        <w:t>Bilješka 16.</w:t>
      </w:r>
    </w:p>
    <w:p w14:paraId="3A206CAF" w14:textId="77777777" w:rsidR="00E21327" w:rsidRDefault="0032056F">
      <w:pPr>
        <w:spacing w:line="240" w:lineRule="auto"/>
        <w:jc w:val="both"/>
      </w:pPr>
      <w:r>
        <w:rPr>
          <w:b/>
        </w:rPr>
        <w:t>EU izvještaj</w:t>
      </w:r>
    </w:p>
    <w:p w14:paraId="08F64933" w14:textId="77777777" w:rsidR="00E21327" w:rsidRDefault="0032056F">
      <w:r>
        <w:t>U okviru OP ULJP (ESF+) financiraju se sljedeći pozivi:  Zaželi – prevencija institucionalizacije, Izrada županijskih socijalnih planova, Mapiranje vještina za zelenu i digitalnu tranziciju, Uspostava sustava za e-dostavu i e-bazu kolektivnih ugovora, NE rodno utemeljenom nasilju, Jačanje povezanosti obrazovanja i tržišta rada, Inovativne socijalne usluge - odmor od skrbi (pilot projekt), Jačanje kapaciteta socijalnih partnera – faza I, Osiguravanje školske prehrane za djecu u riziku od siromaštva, Prijelaz</w:t>
      </w:r>
      <w:r>
        <w:t xml:space="preserve"> s institucionalne skrbi na skrb u zajednici za djecu, mlade i osobe s invaliditetom (RAS), Jačanje provedbe mjera zaštite na radu, Uspostava Akademije socijalne skrbi i razvoj ljudskih potencijala u sustavu socijalne skrbi, Uspostava jedinstvenog e-sustava za osiguranje radničkih tražbina i privremenog uzdržavanja te unaprjeđenje kvalitete usluga Agencije za osiguranje radničkih tražbina, Ublažavanje siromaštva pružanjem pomoći najpotrebitijim osobama podjelom hrane i osnovne materijalne pomoći u HR NUTS 2</w:t>
      </w:r>
      <w:r>
        <w:t xml:space="preserve"> Regiji Panonska Hrvatska, Ublažavanje siromaštva pružanjem pomoći najpotrebitijim osobama podjelom hrane i osnovne materijalne pomoći u HR NUTS 2 Regiji Grad Zagreb, Ublažavanje siromaštva pružanjem pomoći najpotrebitijim osobama podjelom hrane i osnovne materijalne pomoći u HR NUTS 2 Regiji Jadranska Hrvatska, Ublažavanje siromaštva pružanjem pomoći najpotrebitijim osobama podjelom hrane i osnovne materijalne pomoći u HR NUTS 2 Regiji Sjeverna Hrvatska, Širenje mreže usluge osobne asistencije, Potpore za </w:t>
      </w:r>
      <w:r>
        <w:t>poticanje zapošljavanja i samozapošljavanja mladih nezaposlenih osoba, Potpore za poticanje zapošljavanja i samozapošljavanja nezaposlenih osoba, Širenje mreže socijalnih usluga u zajednici, Unapređenje usluga uz jačanje kapaciteta Hrvatskog zavoda za </w:t>
      </w:r>
      <w:r>
        <w:br/>
        <w:t>zapošljavanje, Uvođenje sustava obvezne elektroničke evidencije radnog vremena i podizanje razine svijesti o dobrobiti prijavljenog rada, Širenje mreže socijalnih usluga za djecu, Razvoj ljudskih potencijala Hrvatskog zavoda za mirovinsko osiguranje, Jednakos</w:t>
      </w:r>
      <w:r>
        <w:t>t, uključivanje, participacija i integracija Roma, Podrška jednakosti.</w:t>
      </w:r>
    </w:p>
    <w:p w14:paraId="6B62D1E9" w14:textId="77777777" w:rsidR="00E21327" w:rsidRDefault="0032056F">
      <w:r>
        <w:lastRenderedPageBreak/>
        <w:t>U okviru OP NPOO financira se poboljšanje dostupnosti integrirane cjelovite skrbi za starije osobe unapređenjem infrastrukture za pružanje socijalnih usluga za starije osobe, odnosno, izgradnja i opremanje Centara za starije osobe.</w:t>
      </w:r>
    </w:p>
    <w:p w14:paraId="491BD42D" w14:textId="77777777" w:rsidR="00E21327" w:rsidRDefault="0032056F">
      <w:r>
        <w:t xml:space="preserve">Pozivom je predviđeno pružanje usluge smještaja i pružanje </w:t>
      </w:r>
      <w:proofErr w:type="spellStart"/>
      <w:r>
        <w:t>izvaninstitucijskih</w:t>
      </w:r>
      <w:proofErr w:type="spellEnd"/>
      <w:r>
        <w:t xml:space="preserve"> usluga pomoći u kući, usluga boravka - poludnevnog i cjelodnevnog, skrbi za starije osobe za vrijeme spriječenosti njegovatelja; usluge savjetovanja, psihosocijalnog savjetovanja i psihosocijalne podrške, integrirane usluge socijalne i zdravstvene skrbi na primarnoj razini (prostor i oprema za rad liječnika obiteljske medicine, mobilni timovi).</w:t>
      </w:r>
    </w:p>
    <w:p w14:paraId="4BA797FE" w14:textId="77777777" w:rsidR="00E21327" w:rsidRDefault="00E21327"/>
    <w:sectPr w:rsidR="00E21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21327"/>
    <w:rsid w:val="002B7508"/>
    <w:rsid w:val="0032056F"/>
    <w:rsid w:val="004A291F"/>
    <w:rsid w:val="00E213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E517"/>
  <w15:docId w15:val="{6959A247-041C-4A85-9511-B91C5D3C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2217</Words>
  <Characters>12643</Characters>
  <Application>Microsoft Office Word</Application>
  <DocSecurity>0</DocSecurity>
  <Lines>105</Lines>
  <Paragraphs>29</Paragraphs>
  <ScaleCrop>false</ScaleCrop>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Maja Videk</cp:lastModifiedBy>
  <cp:revision>2</cp:revision>
  <dcterms:created xsi:type="dcterms:W3CDTF">2026-02-10T10:10:00Z</dcterms:created>
  <dcterms:modified xsi:type="dcterms:W3CDTF">2026-02-10T10:10:00Z</dcterms:modified>
</cp:coreProperties>
</file>